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0" w:after="0"/>
        <w:ind w:left="2016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RECOVERY OF LOANS BY BANKS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(SPECIAL PROVISIONS) (AMENDMENT)</w:t>
      </w:r>
    </w:p>
    <w:p>
      <w:pPr>
        <w:autoSpaceDN w:val="0"/>
        <w:autoSpaceDE w:val="0"/>
        <w:widowControl/>
        <w:spacing w:line="238" w:lineRule="auto" w:before="29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6" w:lineRule="exact" w:before="356" w:after="0"/>
        <w:ind w:left="1728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Recovery of Loans by Banks (Special Provisions) </w:t>
      </w:r>
      <w:r>
        <w:rPr>
          <w:rFonts w:ascii="Times,Bold" w:hAnsi="Times,Bold" w:eastAsia="Times,Bold"/>
          <w:b/>
          <w:i w:val="0"/>
          <w:color w:val="221F1F"/>
          <w:sz w:val="20"/>
        </w:rPr>
        <w:t>Act, No. 4 of 1990</w:t>
      </w:r>
    </w:p>
    <w:p>
      <w:pPr>
        <w:autoSpaceDN w:val="0"/>
        <w:autoSpaceDE w:val="0"/>
        <w:widowControl/>
        <w:spacing w:line="238" w:lineRule="auto" w:before="18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5" w:lineRule="auto" w:before="46" w:after="0"/>
        <w:ind w:left="177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Finance, Economic Stabilization and</w:t>
      </w:r>
    </w:p>
    <w:p>
      <w:pPr>
        <w:autoSpaceDN w:val="0"/>
        <w:autoSpaceDE w:val="0"/>
        <w:widowControl/>
        <w:spacing w:line="238" w:lineRule="auto" w:before="44" w:after="0"/>
        <w:ind w:left="0" w:right="284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March, 2024</w:t>
      </w:r>
    </w:p>
    <w:p>
      <w:pPr>
        <w:autoSpaceDN w:val="0"/>
        <w:autoSpaceDE w:val="0"/>
        <w:widowControl/>
        <w:spacing w:line="235" w:lineRule="auto" w:before="270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13,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5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the Recovery of Loans by Banks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>Act,   No. 4 of 1990 by inserting immediately after section 4 of that Act, new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as amended is to suspend, the selling of any property mortgaged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as security for any loan in respect of which default has been made, by public auction </w:t>
      </w:r>
      <w:r>
        <w:rPr>
          <w:rFonts w:ascii="Times" w:hAnsi="Times" w:eastAsia="Times"/>
          <w:b w:val="0"/>
          <w:i w:val="0"/>
          <w:color w:val="221F1F"/>
          <w:sz w:val="16"/>
        </w:rPr>
        <w:t>during the period  commencing on the date of commencement of section 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ending on </w:t>
      </w:r>
      <w:r>
        <w:rPr>
          <w:rFonts w:ascii="Times" w:hAnsi="Times" w:eastAsia="Times"/>
          <w:b w:val="0"/>
          <w:i w:val="0"/>
          <w:color w:val="221F1F"/>
          <w:sz w:val="16"/>
        </w:rPr>
        <w:t>15</w:t>
      </w:r>
      <w:r>
        <w:rPr>
          <w:w w:val="104.44444020589192"/>
          <w:rFonts w:ascii="Times" w:hAnsi="Times" w:eastAsia="Times"/>
          <w:b w:val="0"/>
          <w:i w:val="0"/>
          <w:color w:val="221F1F"/>
          <w:sz w:val="9"/>
        </w:rPr>
        <w:t>th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December,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Recovery of Loans by Banks (Special Provisions)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17/2024</w:t>
      </w:r>
    </w:p>
    <w:p>
      <w:pPr>
        <w:autoSpaceDN w:val="0"/>
        <w:autoSpaceDE w:val="0"/>
        <w:widowControl/>
        <w:spacing w:line="245" w:lineRule="auto" w:before="22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ECOVERY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OANS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54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4" w:lineRule="auto" w:before="294" w:after="230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Recovery of Loans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Banks (Special Provisions) (Amendment) Act, No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 of the Recovery of Loans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Act,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(Special Provisions) Act, No. 4 of 1990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4 of</w:t>
            </w:r>
          </w:p>
        </w:tc>
      </w:tr>
      <w:tr>
        <w:trPr>
          <w:trHeight w:hRule="exact" w:val="1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effect as section 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Act:-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1990</w:t>
            </w:r>
          </w:p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“Temporary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Notwithstanding the provisions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6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5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proviso to section 3 and section 4, the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authorize any person to sell by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auction any property mortgaged to the bank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auction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for any loan in respect of which default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58" w:val="left"/>
        </w:tabs>
        <w:autoSpaceDE w:val="0"/>
        <w:widowControl/>
        <w:spacing w:line="259" w:lineRule="auto" w:before="16" w:after="23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made, during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the date of commencement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and ending on 15</w:t>
      </w:r>
      <w:r>
        <w:rPr>
          <w:w w:val="96.66666984558105"/>
          <w:rFonts w:ascii="Times" w:hAnsi="Times" w:eastAsia="Times"/>
          <w:b w:val="0"/>
          <w:i w:val="0"/>
          <w:color w:val="221F1F"/>
          <w:sz w:val="12"/>
        </w:rPr>
        <w:t>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December, 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Recovery of Loans by Banks (Special Provisions)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9026" w:after="0"/>
        <w:ind w:left="0" w:right="3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