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66" w:after="0"/>
        <w:ind w:left="0" w:right="31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March 22, 2024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22.03.2024)</w:t>
      </w:r>
    </w:p>
    <w:p>
      <w:pPr>
        <w:autoSpaceDN w:val="0"/>
        <w:autoSpaceDE w:val="0"/>
        <w:widowControl/>
        <w:spacing w:line="240" w:lineRule="auto" w:before="28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30" w:after="0"/>
        <w:ind w:left="2592" w:right="2448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EMPLOYEES’ PROVIDENT FUND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235" w:lineRule="auto" w:before="154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19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12" w:after="0"/>
        <w:ind w:left="200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Employees’ Provident Fund Act, No. 15 of 1958</w:t>
      </w:r>
    </w:p>
    <w:p>
      <w:pPr>
        <w:autoSpaceDN w:val="0"/>
        <w:autoSpaceDE w:val="0"/>
        <w:widowControl/>
        <w:spacing w:line="245" w:lineRule="auto" w:before="372" w:after="0"/>
        <w:ind w:left="1728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M. A. Sumanthiran, M.P. for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Jaffna District</w:t>
      </w:r>
    </w:p>
    <w:p>
      <w:pPr>
        <w:autoSpaceDN w:val="0"/>
        <w:autoSpaceDE w:val="0"/>
        <w:widowControl/>
        <w:spacing w:line="238" w:lineRule="auto" w:before="11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5.</w:t>
      </w:r>
    </w:p>
    <w:p>
      <w:pPr>
        <w:autoSpaceDN w:val="0"/>
        <w:tabs>
          <w:tab w:pos="5936" w:val="left"/>
        </w:tabs>
        <w:autoSpaceDE w:val="0"/>
        <w:widowControl/>
        <w:spacing w:line="238" w:lineRule="auto" w:before="14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3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12"/>
        <w:ind w:left="0" w:right="0"/>
      </w:pPr>
    </w:p>
    <w:p>
      <w:pPr>
        <w:autoSpaceDN w:val="0"/>
        <w:tabs>
          <w:tab w:pos="1584" w:val="left"/>
          <w:tab w:pos="3362" w:val="left"/>
        </w:tabs>
        <w:autoSpaceDE w:val="0"/>
        <w:widowControl/>
        <w:spacing w:line="310" w:lineRule="auto" w:before="0" w:after="0"/>
        <w:ind w:left="1344" w:right="1296" w:firstLine="0"/>
        <w:jc w:val="left"/>
      </w:pP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STATEMENT OF LEGAL EFFECT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5 of the Employees’ Provident Fund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 15 of 1958 (hereinafter referred to as the “principal enactment”),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amendment is to ensure adequate and timely publication and disclosure of the </w:t>
      </w:r>
      <w:r>
        <w:rPr>
          <w:rFonts w:ascii="Times" w:hAnsi="Times" w:eastAsia="Times"/>
          <w:b w:val="0"/>
          <w:i w:val="0"/>
          <w:color w:val="000000"/>
          <w:sz w:val="16"/>
        </w:rPr>
        <w:t>information required to be published by sub-paragraph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) of paragraph (1) thereof.</w:t>
      </w:r>
    </w:p>
    <w:p>
      <w:pPr>
        <w:autoSpaceDN w:val="0"/>
        <w:tabs>
          <w:tab w:pos="1584" w:val="left"/>
        </w:tabs>
        <w:autoSpaceDE w:val="0"/>
        <w:widowControl/>
        <w:spacing w:line="250" w:lineRule="auto" w:before="220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inserts the Schedules corresponding to the amendments to </w:t>
      </w:r>
      <w:r>
        <w:rPr>
          <w:rFonts w:ascii="Times" w:hAnsi="Times" w:eastAsia="Times"/>
          <w:b w:val="0"/>
          <w:i w:val="0"/>
          <w:color w:val="000000"/>
          <w:sz w:val="16"/>
        </w:rPr>
        <w:t>sub-paragraph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) of paragraph (1) of section 5.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Employees’ Provident Fund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3516" w:val="left"/>
        </w:tabs>
        <w:autoSpaceDE w:val="0"/>
        <w:widowControl/>
        <w:spacing w:line="271" w:lineRule="auto" w:before="454" w:after="0"/>
        <w:ind w:left="233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MPLOYEES</w:t>
      </w:r>
      <w:r>
        <w:rPr>
          <w:rFonts w:ascii="Times" w:hAnsi="Times" w:eastAsia="Times"/>
          <w:b w:val="0"/>
          <w:i w:val="0"/>
          <w:color w:val="000000"/>
          <w:sz w:val="20"/>
        </w:rPr>
        <w:t>’ P</w:t>
      </w:r>
      <w:r>
        <w:rPr>
          <w:rFonts w:ascii="Times" w:hAnsi="Times" w:eastAsia="Times"/>
          <w:b w:val="0"/>
          <w:i w:val="0"/>
          <w:color w:val="000000"/>
          <w:sz w:val="14"/>
        </w:rPr>
        <w:t>ROVIDENT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1958</w:t>
      </w:r>
    </w:p>
    <w:p>
      <w:pPr>
        <w:autoSpaceDN w:val="0"/>
        <w:autoSpaceDE w:val="0"/>
        <w:widowControl/>
        <w:spacing w:line="271" w:lineRule="auto" w:before="356" w:after="29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Employees’ Provident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34" w:after="29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Fund (Amendment) Act, No.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 of the Employees’ Provident Fund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15 of 1958 (hereinafter referred to as the “principal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15 of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by the deletion of sub-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1958</w:t>
            </w:r>
          </w:p>
        </w:tc>
      </w:tr>
    </w:tbl>
    <w:p>
      <w:pPr>
        <w:autoSpaceDN w:val="0"/>
        <w:autoSpaceDE w:val="0"/>
        <w:widowControl/>
        <w:spacing w:line="271" w:lineRule="auto" w:before="32" w:after="29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 and replacement thereof with </w:t>
      </w:r>
      <w:r>
        <w:rPr>
          <w:rFonts w:ascii="Times" w:hAnsi="Times" w:eastAsia="Times"/>
          <w:b w:val="0"/>
          <w:i w:val="0"/>
          <w:color w:val="000000"/>
          <w:sz w:val="20"/>
        </w:rPr>
        <w:t>the following:–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4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cause to be prepared in respect of the Fund for</w:t>
            </w:r>
          </w:p>
        </w:tc>
      </w:tr>
      <w:tr>
        <w:trPr>
          <w:trHeight w:hRule="exact" w:val="458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3" w:lineRule="auto" w:before="30" w:after="27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each year a statement of receipts and payments,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of income and expenditure, and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statement of assets and liabilities;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cause to be prepared in respect of the Fund for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98" w:lineRule="auto" w:before="32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each month a statement of investments, which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published on the official website of the Fund no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later than the fifteenth day of the following month;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statement of investments shall clearly identify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type of securities invested in by the Fund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as is relevant, the volume, face value,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 price and market value of each investment,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form prescribed in the First Schedule to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and other relevant information;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Employees’ Provident Fund (Amendment)</w:t>
            </w:r>
          </w:p>
        </w:tc>
      </w:tr>
      <w:tr>
        <w:trPr>
          <w:trHeight w:hRule="exact" w:val="5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cause to be prepared in respect of the Fund for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2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each month a statement of divestments, which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published on the official website of the Fund no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later than the fifteenth day of the following month;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statement of divestments shall clearly identify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type of securities disposed of by the Fund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as is relevant, the volume, face value,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divestment consideration (sale price) and market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value of each divestment, realized gain or loss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form prescribed in the Second Schedule to this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Act, and other relevant information; and</w:t>
      </w:r>
    </w:p>
    <w:p>
      <w:pPr>
        <w:autoSpaceDN w:val="0"/>
        <w:tabs>
          <w:tab w:pos="2422" w:val="left"/>
          <w:tab w:pos="2426" w:val="left"/>
        </w:tabs>
        <w:autoSpaceDE w:val="0"/>
        <w:widowControl/>
        <w:spacing w:line="245" w:lineRule="auto" w:before="236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publish the monthly statements of investments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divestments in the annual report of the Fund; </w:t>
      </w:r>
      <w:r>
        <w:rPr>
          <w:rFonts w:ascii="Times" w:hAnsi="Times" w:eastAsia="Times"/>
          <w:b w:val="0"/>
          <w:i w:val="0"/>
          <w:color w:val="000000"/>
          <w:sz w:val="20"/>
        </w:rPr>
        <w:t>Provided that, where the statements for the relevant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 are determined to be too voluminous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reproduction, provision of a hyperlink to such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monthly statements in the website of the Fund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be sufficient compliance with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requirement;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cause to be prepared in respect of the Fund for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each month a report showing the cumulative yield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yield for the twelve months preceding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relevant month of its securities portfolio,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published on the official website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 no later than the fifteenth day of the following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month. For the purposes of this section, ‘yield’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mean the rate of return on investment;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prepare and disclose such other information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addition to the information it discloses at the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this amendment enters into force; and shall</w:t>
            </w:r>
          </w:p>
        </w:tc>
      </w:tr>
    </w:tbl>
    <w:p>
      <w:pPr>
        <w:autoSpaceDN w:val="0"/>
        <w:autoSpaceDE w:val="0"/>
        <w:widowControl/>
        <w:spacing w:line="245" w:lineRule="auto" w:before="0" w:after="18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disclose such information in addition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set out above, as may be prescribed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time to time by the Minister by regulation.”.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principal enactment is hereby amended by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 a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insertion of the following Schedules at the end thereof:-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5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Employees’ Provident Fund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8" w:lineRule="auto" w:before="506" w:after="0"/>
        <w:ind w:left="0" w:right="41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“FIRST SCHEDULE</w:t>
      </w:r>
    </w:p>
    <w:p>
      <w:pPr>
        <w:autoSpaceDN w:val="0"/>
        <w:autoSpaceDE w:val="0"/>
        <w:widowControl/>
        <w:spacing w:line="238" w:lineRule="auto" w:before="14" w:after="76"/>
        <w:ind w:left="0" w:right="40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(Section 5(1)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h</w:t>
      </w:r>
      <w:r>
        <w:rPr>
          <w:rFonts w:ascii="Times" w:hAnsi="Times" w:eastAsia="Times"/>
          <w:b w:val="0"/>
          <w:i w:val="0"/>
          <w:color w:val="221F1F"/>
          <w:sz w:val="16"/>
        </w:rPr>
        <w:t>) (ii))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2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87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3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8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8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.00000000000011" w:type="dxa"/>
            </w:tblPr>
            <w:tblGrid>
              <w:gridCol w:w="555"/>
              <w:gridCol w:w="555"/>
              <w:gridCol w:w="555"/>
              <w:gridCol w:w="555"/>
              <w:gridCol w:w="555"/>
              <w:gridCol w:w="555"/>
              <w:gridCol w:w="555"/>
              <w:gridCol w:w="555"/>
              <w:gridCol w:w="555"/>
              <w:gridCol w:w="555"/>
              <w:gridCol w:w="555"/>
            </w:tblGrid>
            <w:tr>
              <w:trPr>
                <w:trHeight w:hRule="exact" w:val="260"/>
              </w:trPr>
              <w:tc>
                <w:tcPr>
                  <w:tcW w:type="dxa" w:w="4818"/>
                  <w:gridSpan w:val="11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7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INVESTMENTS</w:t>
                  </w:r>
                </w:p>
              </w:tc>
            </w:tr>
            <w:tr>
              <w:trPr>
                <w:trHeight w:hRule="exact" w:val="1158"/>
              </w:trPr>
              <w:tc>
                <w:tcPr>
                  <w:tcW w:type="dxa" w:w="416"/>
                  <w:tcBorders>
                    <w:start w:sz="3.8399999141693115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>(ISIN)*</w:t>
                  </w:r>
                </w:p>
              </w:tc>
              <w:tc>
                <w:tcPr>
                  <w:tcW w:type="dxa" w:w="34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48" w:after="0"/>
                    <w:ind w:left="44" w:right="0" w:hanging="44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 xml:space="preserve"> Instru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 xml:space="preserve">ment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 xml:space="preserve">Type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 xml:space="preserve">(eg: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 xml:space="preserve">bill,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>bond)</w:t>
                  </w:r>
                </w:p>
              </w:tc>
              <w:tc>
                <w:tcPr>
                  <w:tcW w:type="dxa" w:w="49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4" w:after="0"/>
                    <w:ind w:left="2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Date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of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Purchase</w:t>
                  </w:r>
                </w:p>
              </w:tc>
              <w:tc>
                <w:tcPr>
                  <w:tcW w:type="dxa" w:w="510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Volume</w:t>
                  </w:r>
                </w:p>
              </w:tc>
              <w:tc>
                <w:tcPr>
                  <w:tcW w:type="dxa" w:w="41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8" w:val="left"/>
                    </w:tabs>
                    <w:autoSpaceDE w:val="0"/>
                    <w:widowControl/>
                    <w:spacing w:line="245" w:lineRule="auto" w:before="48" w:after="0"/>
                    <w:ind w:left="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Face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Value</w:t>
                  </w:r>
                </w:p>
              </w:tc>
              <w:tc>
                <w:tcPr>
                  <w:tcW w:type="dxa" w:w="41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4" w:after="0"/>
                    <w:ind w:left="2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Purch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ase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Price</w:t>
                  </w:r>
                </w:p>
              </w:tc>
              <w:tc>
                <w:tcPr>
                  <w:tcW w:type="dxa" w:w="390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4" w:after="0"/>
                    <w:ind w:left="1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Coupon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Rate</w:t>
                  </w:r>
                </w:p>
              </w:tc>
              <w:tc>
                <w:tcPr>
                  <w:tcW w:type="dxa" w:w="41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4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Market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Value/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Price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>**</w:t>
                  </w:r>
                </w:p>
              </w:tc>
              <w:tc>
                <w:tcPr>
                  <w:tcW w:type="dxa" w:w="484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4" w:after="0"/>
                    <w:ind w:left="1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Maturity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Date</w:t>
                  </w:r>
                </w:p>
              </w:tc>
              <w:tc>
                <w:tcPr>
                  <w:tcW w:type="dxa" w:w="494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4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YTM at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2.0000000000004547" w:type="dxa"/>
                  </w:tblPr>
                  <w:tblGrid>
                    <w:gridCol w:w="247"/>
                    <w:gridCol w:w="247"/>
                  </w:tblGrid>
                  <w:tr>
                    <w:trPr>
                      <w:trHeight w:hRule="exact" w:val="324"/>
                    </w:trPr>
                    <w:tc>
                      <w:tcPr>
                        <w:tcW w:type="dxa" w:w="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purc </w:t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2"/>
                          </w:rPr>
                          <w:t>hase</w:t>
                        </w:r>
                      </w:p>
                    </w:tc>
                    <w:tc>
                      <w:tcPr>
                        <w:tcW w:type="dxa" w:w="2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8" w:lineRule="auto" w:before="11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2"/>
                          </w:rPr>
                          <w:t>***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42"/>
                  <w:tcBorders>
                    <w:start w:sz="1.9199999570846558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24" w:after="0"/>
                    <w:ind w:left="1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Any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other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relevant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informa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tion</w:t>
                  </w:r>
                </w:p>
              </w:tc>
            </w:tr>
            <w:tr>
              <w:trPr>
                <w:trHeight w:hRule="exact" w:val="160"/>
              </w:trPr>
              <w:tc>
                <w:tcPr>
                  <w:tcW w:type="dxa" w:w="416"/>
                  <w:tcBorders>
                    <w:start w:sz="3.8399999141693115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10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90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4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4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2"/>
                  <w:tcBorders>
                    <w:start w:sz="1.9199999570846558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950"/>
              </w:trPr>
              <w:tc>
                <w:tcPr>
                  <w:tcW w:type="dxa" w:w="416"/>
                  <w:tcBorders>
                    <w:start w:sz="3.8399999141693115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Stock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Code</w:t>
                  </w:r>
                </w:p>
              </w:tc>
              <w:tc>
                <w:tcPr>
                  <w:tcW w:type="dxa" w:w="34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0" w:after="0"/>
                    <w:ind w:left="2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Name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of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comp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any</w:t>
                  </w:r>
                </w:p>
              </w:tc>
              <w:tc>
                <w:tcPr>
                  <w:tcW w:type="dxa" w:w="49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2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Share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transac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tion</w:t>
                  </w:r>
                </w:p>
              </w:tc>
              <w:tc>
                <w:tcPr>
                  <w:tcW w:type="dxa" w:w="922"/>
                  <w:gridSpan w:val="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Date of Purchase</w:t>
                  </w:r>
                </w:p>
              </w:tc>
              <w:tc>
                <w:tcPr>
                  <w:tcW w:type="dxa" w:w="41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7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 Volume</w:t>
                  </w:r>
                </w:p>
              </w:tc>
              <w:tc>
                <w:tcPr>
                  <w:tcW w:type="dxa" w:w="802"/>
                  <w:gridSpan w:val="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6" w:val="left"/>
                    </w:tabs>
                    <w:autoSpaceDE w:val="0"/>
                    <w:widowControl/>
                    <w:spacing w:line="245" w:lineRule="auto" w:before="12" w:after="0"/>
                    <w:ind w:left="0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 Purchase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Price</w:t>
                  </w:r>
                </w:p>
              </w:tc>
              <w:tc>
                <w:tcPr>
                  <w:tcW w:type="dxa" w:w="484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34" w:after="0"/>
                    <w:ind w:left="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Volume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Weighted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Average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Price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(WVA)</w:t>
                  </w:r>
                </w:p>
              </w:tc>
              <w:tc>
                <w:tcPr>
                  <w:tcW w:type="dxa" w:w="936"/>
                  <w:gridSpan w:val="2"/>
                  <w:tcBorders>
                    <w:start w:sz="1.9199999570846558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26" w:after="0"/>
                    <w:ind w:left="62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Any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other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relevant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information</w:t>
                  </w:r>
                </w:p>
              </w:tc>
            </w:tr>
            <w:tr>
              <w:trPr>
                <w:trHeight w:hRule="exact" w:val="154"/>
              </w:trPr>
              <w:tc>
                <w:tcPr>
                  <w:tcW w:type="dxa" w:w="416"/>
                  <w:tcBorders>
                    <w:start w:sz="3.8399999141693115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2"/>
                  <w:gridSpan w:val="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2"/>
                  <w:gridSpan w:val="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4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36"/>
                  <w:gridSpan w:val="2"/>
                  <w:tcBorders>
                    <w:start w:sz="1.9199999570846558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35" w:lineRule="auto" w:before="416" w:after="116"/>
              <w:ind w:left="0" w:right="27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SECOND SCHEDULE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.00000000000011" w:type="dxa"/>
            </w:tblPr>
            <w:tblGrid>
              <w:gridCol w:w="678"/>
              <w:gridCol w:w="678"/>
              <w:gridCol w:w="678"/>
              <w:gridCol w:w="678"/>
              <w:gridCol w:w="678"/>
              <w:gridCol w:w="678"/>
              <w:gridCol w:w="678"/>
              <w:gridCol w:w="678"/>
              <w:gridCol w:w="678"/>
            </w:tblGrid>
            <w:tr>
              <w:trPr>
                <w:trHeight w:hRule="exact" w:val="316"/>
              </w:trPr>
              <w:tc>
                <w:tcPr>
                  <w:tcW w:type="dxa" w:w="4818"/>
                  <w:gridSpan w:val="9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INVESTMENTS</w:t>
                  </w:r>
                </w:p>
              </w:tc>
            </w:tr>
            <w:tr>
              <w:trPr>
                <w:trHeight w:hRule="exact" w:val="1122"/>
              </w:trPr>
              <w:tc>
                <w:tcPr>
                  <w:tcW w:type="dxa" w:w="758"/>
                  <w:tcBorders>
                    <w:start w:sz="3.8399999141693115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auto" w:before="10" w:after="0"/>
                    <w:ind w:left="448" w:right="0" w:hanging="448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 xml:space="preserve">(ISIN)* Instu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 xml:space="preserve">ment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 xml:space="preserve">Type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 xml:space="preserve">(eg: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 xml:space="preserve">bill,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>bond)</w:t>
                  </w:r>
                </w:p>
              </w:tc>
              <w:tc>
                <w:tcPr>
                  <w:tcW w:type="dxa" w:w="49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Volume</w:t>
                  </w:r>
                </w:p>
              </w:tc>
              <w:tc>
                <w:tcPr>
                  <w:tcW w:type="dxa" w:w="510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" w:after="0"/>
                    <w:ind w:left="0" w:right="144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Face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Value</w:t>
                  </w:r>
                </w:p>
              </w:tc>
              <w:tc>
                <w:tcPr>
                  <w:tcW w:type="dxa" w:w="41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2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Coupon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Rate</w:t>
                  </w:r>
                </w:p>
              </w:tc>
              <w:tc>
                <w:tcPr>
                  <w:tcW w:type="dxa" w:w="41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Market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Value/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Price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>**</w:t>
                  </w:r>
                </w:p>
              </w:tc>
              <w:tc>
                <w:tcPr>
                  <w:tcW w:type="dxa" w:w="470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8" w:after="0"/>
                    <w:ind w:left="1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Maturity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Date</w:t>
                  </w:r>
                </w:p>
              </w:tc>
              <w:tc>
                <w:tcPr>
                  <w:tcW w:type="dxa" w:w="51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0" w:after="4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YTM at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6.000000000000227" w:type="dxa"/>
                  </w:tblPr>
                  <w:tblGrid>
                    <w:gridCol w:w="256"/>
                    <w:gridCol w:w="256"/>
                  </w:tblGrid>
                  <w:tr>
                    <w:trPr>
                      <w:trHeight w:hRule="exact" w:val="324"/>
                    </w:trPr>
                    <w:tc>
                      <w:tcPr>
                        <w:tcW w:type="dxa" w:w="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Purc </w:t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2"/>
                          </w:rPr>
                          <w:t>hase</w:t>
                        </w:r>
                      </w:p>
                    </w:tc>
                    <w:tc>
                      <w:tcPr>
                        <w:tcW w:type="dxa" w:w="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8" w:lineRule="auto" w:before="13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2"/>
                          </w:rPr>
                          <w:t>***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55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Realized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gain/ loss</w:t>
                  </w:r>
                </w:p>
              </w:tc>
              <w:tc>
                <w:tcPr>
                  <w:tcW w:type="dxa" w:w="682"/>
                  <w:tcBorders>
                    <w:start w:sz="1.9199999570846558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0" w:after="0"/>
                    <w:ind w:left="56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Any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other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relevant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informa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tion</w:t>
                  </w:r>
                </w:p>
              </w:tc>
            </w:tr>
            <w:tr>
              <w:trPr>
                <w:trHeight w:hRule="exact" w:val="158"/>
              </w:trPr>
              <w:tc>
                <w:tcPr>
                  <w:tcW w:type="dxa" w:w="758"/>
                  <w:tcBorders>
                    <w:start w:sz="3.8399999141693115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10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70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1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5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82"/>
                  <w:tcBorders>
                    <w:start w:sz="1.9199999570846558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954"/>
              </w:trPr>
              <w:tc>
                <w:tcPr>
                  <w:tcW w:type="dxa" w:w="758"/>
                  <w:tcBorders>
                    <w:start w:sz="3.8399999141693115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1.9999999999998863" w:type="dxa"/>
                  </w:tblPr>
                  <w:tblGrid>
                    <w:gridCol w:w="379"/>
                    <w:gridCol w:w="379"/>
                  </w:tblGrid>
                  <w:tr>
                    <w:trPr>
                      <w:trHeight w:hRule="exact" w:val="290"/>
                    </w:trPr>
                    <w:tc>
                      <w:tcPr>
                        <w:tcW w:type="dxa" w:w="3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Stock </w:t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2"/>
                          </w:rPr>
                          <w:t>Code</w:t>
                        </w:r>
                      </w:p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6" w:after="0"/>
                          <w:ind w:left="102" w:right="0" w:firstLine="0"/>
                          <w:jc w:val="left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Name </w:t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2"/>
                          </w:rPr>
                          <w:t>of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45" w:lineRule="auto" w:before="4" w:after="0"/>
                    <w:ind w:left="44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comp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any</w:t>
                  </w:r>
                </w:p>
              </w:tc>
              <w:tc>
                <w:tcPr>
                  <w:tcW w:type="dxa" w:w="49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2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Share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transac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tion</w:t>
                  </w:r>
                </w:p>
              </w:tc>
              <w:tc>
                <w:tcPr>
                  <w:tcW w:type="dxa" w:w="922"/>
                  <w:gridSpan w:val="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Date of Purchase</w:t>
                  </w:r>
                </w:p>
              </w:tc>
              <w:tc>
                <w:tcPr>
                  <w:tcW w:type="dxa" w:w="41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7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 Volume</w:t>
                  </w:r>
                </w:p>
              </w:tc>
              <w:tc>
                <w:tcPr>
                  <w:tcW w:type="dxa" w:w="982"/>
                  <w:gridSpan w:val="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2" w:after="0"/>
                    <w:ind w:left="18" w:right="432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Volume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Weighted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Average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Price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(WVA)</w:t>
                  </w:r>
                </w:p>
              </w:tc>
              <w:tc>
                <w:tcPr>
                  <w:tcW w:type="dxa" w:w="55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Realized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gain/ loss</w:t>
                  </w:r>
                </w:p>
              </w:tc>
              <w:tc>
                <w:tcPr>
                  <w:tcW w:type="dxa" w:w="682"/>
                  <w:tcBorders>
                    <w:start w:sz="1.9199999570846558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30" w:after="0"/>
                    <w:ind w:left="5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Any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other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relevant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information</w:t>
                  </w:r>
                </w:p>
              </w:tc>
            </w:tr>
            <w:tr>
              <w:trPr>
                <w:trHeight w:hRule="exact" w:val="132"/>
              </w:trPr>
              <w:tc>
                <w:tcPr>
                  <w:tcW w:type="dxa" w:w="758"/>
                  <w:tcBorders>
                    <w:start w:sz="3.8399999141693115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2"/>
                  <w:gridSpan w:val="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2"/>
                  <w:gridSpan w:val="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5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82"/>
                  <w:tcBorders>
                    <w:start w:sz="1.9199999570846558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35" w:lineRule="auto" w:before="426" w:after="0"/>
        <w:ind w:left="2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*International Securities Identification Number (ISIN)</w:t>
      </w:r>
    </w:p>
    <w:p>
      <w:pPr>
        <w:autoSpaceDN w:val="0"/>
        <w:autoSpaceDE w:val="0"/>
        <w:widowControl/>
        <w:spacing w:line="238" w:lineRule="auto" w:before="220" w:after="0"/>
        <w:ind w:left="19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**As determined by the daily/weekly economic indicators</w:t>
      </w:r>
    </w:p>
    <w:p>
      <w:pPr>
        <w:autoSpaceDN w:val="0"/>
        <w:tabs>
          <w:tab w:pos="2116" w:val="left"/>
        </w:tabs>
        <w:autoSpaceDE w:val="0"/>
        <w:widowControl/>
        <w:spacing w:line="238" w:lineRule="auto" w:before="10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published by the Central Bank</w:t>
      </w:r>
    </w:p>
    <w:p>
      <w:pPr>
        <w:autoSpaceDN w:val="0"/>
        <w:autoSpaceDE w:val="0"/>
        <w:widowControl/>
        <w:spacing w:line="238" w:lineRule="auto" w:before="156" w:after="0"/>
        <w:ind w:left="19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***Yield to maturity (YTM)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1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Employees’ Provident Fund (Amendment)</w:t>
      </w:r>
    </w:p>
    <w:p>
      <w:pPr>
        <w:autoSpaceDN w:val="0"/>
        <w:autoSpaceDE w:val="0"/>
        <w:widowControl/>
        <w:spacing w:line="266" w:lineRule="exact" w:before="454" w:after="154"/>
        <w:ind w:left="170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Note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respect of Treasury Bills and Bonds or any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4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other government securities, the type of securities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shall be identified by the serial number.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respect of shares, the type of securities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identified by the name of the company of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shares have  been purchased.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respect of any other securities, the type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securities shall be identified in such a manner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name of the issuer of such security is clearly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discernible, and all other information relevant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transaction as closest corresponding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above tables shall be published.”.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284"/>
        </w:trPr>
        <w:tc>
          <w:tcPr>
            <w:tcW w:type="dxa" w:w="47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Employees’ Provident Fund (Amendment)</w:t>
            </w:r>
          </w:p>
        </w:tc>
        <w:tc>
          <w:tcPr>
            <w:tcW w:type="dxa" w:w="14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