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522"/>
        <w:ind w:left="0" w:right="0"/>
      </w:pPr>
    </w:p>
    <w:p>
      <w:pPr>
        <w:autoSpaceDN w:val="0"/>
        <w:autoSpaceDE w:val="0"/>
        <w:widowControl/>
        <w:spacing w:line="250" w:lineRule="auto" w:before="146" w:after="0"/>
        <w:ind w:left="1728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0"/>
        </w:rPr>
        <w:t xml:space="preserve">THE GAZETTE OF THE DEMOCRATIC </w:t>
      </w:r>
      <w:r>
        <w:rPr>
          <w:rFonts w:ascii="Times,Bold" w:hAnsi="Times,Bold" w:eastAsia="Times,Bold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238" w:lineRule="auto" w:before="326" w:after="0"/>
        <w:ind w:left="0" w:right="316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Part II of March 28, 2024</w:t>
      </w:r>
    </w:p>
    <w:p>
      <w:pPr>
        <w:autoSpaceDN w:val="0"/>
        <w:autoSpaceDE w:val="0"/>
        <w:widowControl/>
        <w:spacing w:line="362" w:lineRule="auto" w:before="322" w:after="0"/>
        <w:ind w:left="3456" w:right="3312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 xml:space="preserve">SUPPLEMENT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4"/>
        </w:rPr>
        <w:t>(Issued on 04.04.2024)</w:t>
      </w:r>
    </w:p>
    <w:p>
      <w:pPr>
        <w:autoSpaceDN w:val="0"/>
        <w:autoSpaceDE w:val="0"/>
        <w:widowControl/>
        <w:spacing w:line="240" w:lineRule="auto" w:before="188" w:after="0"/>
        <w:ind w:left="0" w:right="379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456" w:lineRule="auto" w:before="382" w:after="0"/>
        <w:ind w:left="1872" w:right="1728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 xml:space="preserve">AL FALAH FOUNDATION (INCORPORATION)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(Private Members’ Bill)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24"/>
        </w:rPr>
        <w:t xml:space="preserve">A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24"/>
        </w:rPr>
        <w:t xml:space="preserve">BILL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to incorporate the Al Falah Foundation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To be presented in Parliament by Hon. A. H. M. Fowzie, M.P.</w:t>
      </w:r>
    </w:p>
    <w:p>
      <w:pPr>
        <w:autoSpaceDN w:val="0"/>
        <w:autoSpaceDE w:val="0"/>
        <w:widowControl/>
        <w:spacing w:line="415" w:lineRule="auto" w:before="12" w:after="0"/>
        <w:ind w:left="2592" w:right="2592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for Colombo District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238" w:lineRule="auto" w:before="10" w:after="0"/>
        <w:ind w:left="0" w:right="2378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5996" w:val="left"/>
        </w:tabs>
        <w:autoSpaceDE w:val="0"/>
        <w:widowControl/>
        <w:spacing w:line="235" w:lineRule="auto" w:before="130" w:after="0"/>
        <w:ind w:left="1438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18.00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150.00</w:t>
      </w:r>
    </w:p>
    <w:p>
      <w:pPr>
        <w:autoSpaceDN w:val="0"/>
        <w:tabs>
          <w:tab w:pos="6912" w:val="left"/>
        </w:tabs>
        <w:autoSpaceDE w:val="0"/>
        <w:widowControl/>
        <w:spacing w:line="240" w:lineRule="auto" w:before="74" w:after="0"/>
        <w:ind w:left="143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20.0" w:type="dxa"/>
      </w:tblPr>
      <w:tblGrid>
        <w:gridCol w:w="4510"/>
        <w:gridCol w:w="4510"/>
      </w:tblGrid>
      <w:tr>
        <w:trPr>
          <w:trHeight w:hRule="exact" w:val="286"/>
        </w:trPr>
        <w:tc>
          <w:tcPr>
            <w:tcW w:type="dxa" w:w="4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37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Al Falah Foundation (Incorporation)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460" w:after="0"/>
        <w:ind w:left="0" w:right="297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INCORPORATE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F</w:t>
      </w:r>
      <w:r>
        <w:rPr>
          <w:rFonts w:ascii="Times" w:hAnsi="Times" w:eastAsia="Times"/>
          <w:b w:val="0"/>
          <w:i w:val="0"/>
          <w:color w:val="221F1F"/>
          <w:sz w:val="14"/>
        </w:rPr>
        <w:t>ALAH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F</w:t>
      </w:r>
      <w:r>
        <w:rPr>
          <w:rFonts w:ascii="Times" w:hAnsi="Times" w:eastAsia="Times"/>
          <w:b w:val="0"/>
          <w:i w:val="0"/>
          <w:color w:val="221F1F"/>
          <w:sz w:val="14"/>
        </w:rPr>
        <w:t>OUNDATION</w:t>
      </w:r>
    </w:p>
    <w:p>
      <w:pPr>
        <w:autoSpaceDN w:val="0"/>
        <w:tabs>
          <w:tab w:pos="1798" w:val="left"/>
          <w:tab w:pos="6718" w:val="left"/>
        </w:tabs>
        <w:autoSpaceDE w:val="0"/>
        <w:widowControl/>
        <w:spacing w:line="286" w:lineRule="auto" w:before="338" w:after="0"/>
        <w:ind w:left="1438" w:right="158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WHEREAS a Foundation called and known as the “Al Falah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Preamble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Foundation” has heretofore been formed in Sri Lanka for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purpose of effectually carrying out and transacting all objects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matters  connected with the said foundation according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to the rules agreed to by its members:</w:t>
      </w:r>
    </w:p>
    <w:p>
      <w:pPr>
        <w:autoSpaceDN w:val="0"/>
        <w:tabs>
          <w:tab w:pos="1798" w:val="left"/>
        </w:tabs>
        <w:autoSpaceDE w:val="0"/>
        <w:widowControl/>
        <w:spacing w:line="283" w:lineRule="auto" w:before="326" w:after="0"/>
        <w:ind w:left="14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WHEREAS the said foundation has heretofore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successfully carried out and transacted the several objects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matters for which it was formed and has applied to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incorporated and it will be for the public advantage to grant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such application:</w:t>
      </w:r>
    </w:p>
    <w:p>
      <w:pPr>
        <w:autoSpaceDN w:val="0"/>
        <w:autoSpaceDE w:val="0"/>
        <w:widowControl/>
        <w:spacing w:line="264" w:lineRule="auto" w:before="338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 therefore enacted by the Parliament of the Democratic </w:t>
      </w:r>
      <w:r>
        <w:rPr>
          <w:rFonts w:ascii="Times" w:hAnsi="Times" w:eastAsia="Times"/>
          <w:b w:val="0"/>
          <w:i w:val="0"/>
          <w:color w:val="221F1F"/>
          <w:sz w:val="20"/>
        </w:rPr>
        <w:t>Socialist Republic of Sri Lanka as follows :—</w:t>
      </w:r>
    </w:p>
    <w:p>
      <w:pPr>
        <w:autoSpaceDN w:val="0"/>
        <w:tabs>
          <w:tab w:pos="2038" w:val="left"/>
          <w:tab w:pos="6718" w:val="left"/>
        </w:tabs>
        <w:autoSpaceDE w:val="0"/>
        <w:widowControl/>
        <w:spacing w:line="266" w:lineRule="auto" w:before="336" w:after="278"/>
        <w:ind w:left="1798" w:right="1584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1.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This Act may be cited as the Al Falah Foundation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Short title </w:t>
      </w:r>
      <w:r>
        <w:rPr>
          <w:rFonts w:ascii="Times" w:hAnsi="Times" w:eastAsia="Times"/>
          <w:b w:val="0"/>
          <w:i w:val="0"/>
          <w:color w:val="221F1F"/>
          <w:sz w:val="20"/>
        </w:rPr>
        <w:t>(Incorporation) Act, No.   of  2024.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5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2.</w:t>
            </w:r>
          </w:p>
        </w:tc>
        <w:tc>
          <w:tcPr>
            <w:tcW w:type="dxa" w:w="4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From and after the date of commencement of this Act,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Incorporation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and so many persons as now are members of the “Al Falah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Al Falah</w:t>
            </w:r>
          </w:p>
        </w:tc>
      </w:tr>
      <w:tr>
        <w:trPr>
          <w:trHeight w:hRule="exact" w:val="24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Foundation” (hereinafter referred to as the “Foundation”) or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Foundation</w:t>
            </w:r>
          </w:p>
        </w:tc>
      </w:tr>
    </w:tbl>
    <w:p>
      <w:pPr>
        <w:autoSpaceDN w:val="0"/>
        <w:tabs>
          <w:tab w:pos="1798" w:val="left"/>
        </w:tabs>
        <w:autoSpaceDE w:val="0"/>
        <w:widowControl/>
        <w:spacing w:line="286" w:lineRule="auto" w:before="28" w:after="278"/>
        <w:ind w:left="14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hereafter be admitted as members of the Corporation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hereby constituted shall be a body corporate  with perpetual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succession under the name and style of  “Al Falah Foundation”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(hereinafter referred to as the “Corporation”) and by that name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may sue and be sued and have  full power and authority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have and use a common seal and alter the same at its pleasure.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94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4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general objects for which the Corporation is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General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constituted are hereby declared to be—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objects of the</w:t>
            </w:r>
          </w:p>
        </w:tc>
      </w:tr>
      <w:tr>
        <w:trPr>
          <w:trHeight w:hRule="exact" w:val="18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574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Al Falah Foundation (Incorporation)</w:t>
      </w:r>
    </w:p>
    <w:p>
      <w:pPr>
        <w:autoSpaceDN w:val="0"/>
        <w:tabs>
          <w:tab w:pos="2422" w:val="left"/>
        </w:tabs>
        <w:autoSpaceDE w:val="0"/>
        <w:widowControl/>
        <w:spacing w:line="252" w:lineRule="auto" w:before="506" w:after="0"/>
        <w:ind w:left="207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promote education in skills development at all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level;</w:t>
      </w:r>
    </w:p>
    <w:p>
      <w:pPr>
        <w:autoSpaceDN w:val="0"/>
        <w:tabs>
          <w:tab w:pos="2422" w:val="left"/>
        </w:tabs>
        <w:autoSpaceDE w:val="0"/>
        <w:widowControl/>
        <w:spacing w:line="250" w:lineRule="auto" w:before="280" w:after="0"/>
        <w:ind w:left="207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establish information technology centers for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advancement of scientific studies;</w:t>
      </w:r>
    </w:p>
    <w:p>
      <w:pPr>
        <w:autoSpaceDN w:val="0"/>
        <w:tabs>
          <w:tab w:pos="2094" w:val="left"/>
          <w:tab w:pos="2422" w:val="left"/>
        </w:tabs>
        <w:autoSpaceDE w:val="0"/>
        <w:widowControl/>
        <w:spacing w:line="259" w:lineRule="auto" w:before="268" w:after="0"/>
        <w:ind w:left="136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provide self-employment opportunities for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unemployed;</w:t>
      </w:r>
    </w:p>
    <w:p>
      <w:pPr>
        <w:autoSpaceDN w:val="0"/>
        <w:tabs>
          <w:tab w:pos="2422" w:val="left"/>
        </w:tabs>
        <w:autoSpaceDE w:val="0"/>
        <w:widowControl/>
        <w:spacing w:line="250" w:lineRule="auto" w:before="280" w:after="0"/>
        <w:ind w:left="207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participate in social, cultural and economic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development of the Country; and</w:t>
      </w:r>
    </w:p>
    <w:p>
      <w:pPr>
        <w:autoSpaceDN w:val="0"/>
        <w:autoSpaceDE w:val="0"/>
        <w:widowControl/>
        <w:spacing w:line="235" w:lineRule="auto" w:before="282" w:after="200"/>
        <w:ind w:left="209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>) to assist and support humanitarian activities.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4.</w:t>
            </w:r>
          </w:p>
        </w:tc>
        <w:tc>
          <w:tcPr>
            <w:tcW w:type="dxa" w:w="4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(1) The affairs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Corporation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shall, subject to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Management</w:t>
            </w:r>
          </w:p>
        </w:tc>
      </w:tr>
      <w:tr>
        <w:trPr>
          <w:trHeight w:hRule="exact" w:val="5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 affairs</w:t>
            </w:r>
          </w:p>
        </w:tc>
      </w:tr>
      <w:tr>
        <w:trPr>
          <w:trHeight w:hRule="exact" w:val="15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other provisions of this Act and the rules in force for the time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being  of the Corporation be administered by a Committee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  <w:tr>
        <w:trPr>
          <w:trHeight w:hRule="exact" w:val="27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Management consisting of not more than eleven members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702" w:val="left"/>
        </w:tabs>
        <w:autoSpaceDE w:val="0"/>
        <w:widowControl/>
        <w:spacing w:line="252" w:lineRule="auto" w:before="14" w:after="0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including of Chairman, Secretary, Treasurer elected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accordance with such rules.</w:t>
      </w:r>
    </w:p>
    <w:p>
      <w:pPr>
        <w:autoSpaceDN w:val="0"/>
        <w:autoSpaceDE w:val="0"/>
        <w:widowControl/>
        <w:spacing w:line="259" w:lineRule="auto" w:before="278" w:after="222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First Committee of Management shall consists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members of the Committee of Management holding office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on the day immediately preceding the date of commencement </w:t>
      </w:r>
      <w:r>
        <w:rPr>
          <w:rFonts w:ascii="Times" w:hAnsi="Times" w:eastAsia="Times"/>
          <w:b w:val="0"/>
          <w:i w:val="0"/>
          <w:color w:val="000000"/>
          <w:sz w:val="20"/>
        </w:rPr>
        <w:t>of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81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5.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Subject to the provisions of this Act and any other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General</w:t>
            </w:r>
          </w:p>
        </w:tc>
      </w:tr>
      <w:tr>
        <w:trPr>
          <w:trHeight w:hRule="exact" w:val="181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written law, the 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Corporation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shall have the power to do,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Powers of the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  <w:tr>
        <w:trPr>
          <w:trHeight w:hRule="exact" w:val="26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perform and execute all such acts, matters and things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702" w:val="left"/>
          <w:tab w:pos="1704" w:val="left"/>
        </w:tabs>
        <w:autoSpaceDE w:val="0"/>
        <w:widowControl/>
        <w:spacing w:line="262" w:lineRule="auto" w:before="14" w:after="0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whatsoever as are necessary or desirable for the promotion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furtherance of the objects of the  </w:t>
      </w:r>
      <w:r>
        <w:rPr>
          <w:rFonts w:ascii="Times" w:hAnsi="Times" w:eastAsia="Times"/>
          <w:b w:val="0"/>
          <w:i w:val="0"/>
          <w:color w:val="221F1F"/>
          <w:sz w:val="20"/>
        </w:rPr>
        <w:t>Corporation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or any one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them, including the power to acquire and hold property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moveable, to open, operate and close bank accounts,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borrow or raise moneys with or without security  or collect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accept grants and donations, to invest funds and to engage,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employ and dismiss officers and servants required for the</w:t>
      </w:r>
    </w:p>
    <w:p>
      <w:pPr>
        <w:autoSpaceDN w:val="0"/>
        <w:tabs>
          <w:tab w:pos="1704" w:val="left"/>
        </w:tabs>
        <w:autoSpaceDE w:val="0"/>
        <w:widowControl/>
        <w:spacing w:line="259" w:lineRule="auto" w:before="28" w:after="0"/>
        <w:ind w:left="13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carrying out of the objects of the  </w:t>
      </w:r>
      <w:r>
        <w:rPr>
          <w:rFonts w:ascii="Times" w:hAnsi="Times" w:eastAsia="Times"/>
          <w:b w:val="0"/>
          <w:i w:val="0"/>
          <w:color w:val="221F1F"/>
          <w:sz w:val="20"/>
        </w:rPr>
        <w:t>Corporation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35" w:lineRule="auto" w:before="0" w:after="0"/>
        <w:ind w:left="266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Al Falah Foundation (Incorporation) </w:t>
      </w:r>
      <w:r>
        <w:rPr>
          <w:rFonts w:ascii="Times" w:hAnsi="Times" w:eastAsia="Times"/>
          <w:b w:val="0"/>
          <w:i w:val="0"/>
          <w:color w:val="221F1F"/>
          <w:sz w:val="20"/>
        </w:rPr>
        <w:t>3</w:t>
      </w:r>
    </w:p>
    <w:p>
      <w:pPr>
        <w:autoSpaceDN w:val="0"/>
        <w:tabs>
          <w:tab w:pos="2038" w:val="left"/>
          <w:tab w:pos="2388" w:val="left"/>
          <w:tab w:pos="6736" w:val="left"/>
        </w:tabs>
        <w:autoSpaceDE w:val="0"/>
        <w:widowControl/>
        <w:spacing w:line="250" w:lineRule="auto" w:before="502" w:after="0"/>
        <w:ind w:left="1798" w:right="1440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000000"/>
          <w:sz w:val="20"/>
        </w:rPr>
        <w:t xml:space="preserve">6.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(1) It shall be lawful for the </w:t>
      </w:r>
      <w:r>
        <w:rPr>
          <w:rFonts w:ascii="Times" w:hAnsi="Times" w:eastAsia="Times"/>
          <w:b w:val="0"/>
          <w:i w:val="0"/>
          <w:color w:val="221F1F"/>
          <w:sz w:val="20"/>
        </w:rPr>
        <w:t>Corporation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from time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Rules of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time, at any general meeting of the members and by a majority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Corporation</w:t>
      </w:r>
    </w:p>
    <w:p>
      <w:pPr>
        <w:autoSpaceDN w:val="0"/>
        <w:tabs>
          <w:tab w:pos="1798" w:val="left"/>
        </w:tabs>
        <w:autoSpaceDE w:val="0"/>
        <w:widowControl/>
        <w:spacing w:line="257" w:lineRule="auto" w:before="28" w:after="0"/>
        <w:ind w:left="14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not less than two-thirds of the members present  to make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rules not inconsistent with the provisions of this Act or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other written law, on all or any of the following matters:—</w:t>
      </w:r>
    </w:p>
    <w:p>
      <w:pPr>
        <w:autoSpaceDN w:val="0"/>
        <w:tabs>
          <w:tab w:pos="2518" w:val="left"/>
        </w:tabs>
        <w:autoSpaceDE w:val="0"/>
        <w:widowControl/>
        <w:spacing w:line="250" w:lineRule="auto" w:before="280" w:after="0"/>
        <w:ind w:left="217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classification of members and the admission,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withdrawal, resignation, expulsion of members;</w:t>
      </w:r>
    </w:p>
    <w:p>
      <w:pPr>
        <w:autoSpaceDN w:val="0"/>
        <w:tabs>
          <w:tab w:pos="2172" w:val="left"/>
          <w:tab w:pos="2518" w:val="left"/>
        </w:tabs>
        <w:autoSpaceDE w:val="0"/>
        <w:widowControl/>
        <w:spacing w:line="257" w:lineRule="auto" w:before="282" w:after="0"/>
        <w:ind w:left="143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election of office bearers, the resignation from,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vacation of or removal from office of office-bearers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 their powers, conduct and duties;</w:t>
      </w:r>
    </w:p>
    <w:p>
      <w:pPr>
        <w:autoSpaceDN w:val="0"/>
        <w:autoSpaceDE w:val="0"/>
        <w:widowControl/>
        <w:spacing w:line="257" w:lineRule="auto" w:before="278" w:after="0"/>
        <w:ind w:left="2518" w:right="2422" w:hanging="332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election of the members of the Committee 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Management and its powers, conduct and duties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and term of the Committee members;</w:t>
      </w:r>
    </w:p>
    <w:p>
      <w:pPr>
        <w:autoSpaceDN w:val="0"/>
        <w:tabs>
          <w:tab w:pos="2172" w:val="left"/>
          <w:tab w:pos="2518" w:val="left"/>
        </w:tabs>
        <w:autoSpaceDE w:val="0"/>
        <w:widowControl/>
        <w:spacing w:line="259" w:lineRule="auto" w:before="282" w:after="0"/>
        <w:ind w:left="143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procedure to be observed at and the summoning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holding of meetings of the Committee of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Management or sub Committee and of the time,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places, notices and agenda of such meetings,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quorum thereof and the conduct of business thereof;</w:t>
      </w:r>
    </w:p>
    <w:p>
      <w:pPr>
        <w:autoSpaceDN w:val="0"/>
        <w:tabs>
          <w:tab w:pos="2186" w:val="left"/>
          <w:tab w:pos="2518" w:val="left"/>
        </w:tabs>
        <w:autoSpaceDE w:val="0"/>
        <w:widowControl/>
        <w:spacing w:line="254" w:lineRule="auto" w:before="282" w:after="0"/>
        <w:ind w:left="14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powers, conduct, duties and functions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various officers, agents and servants of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Corporation;</w:t>
      </w:r>
    </w:p>
    <w:p>
      <w:pPr>
        <w:autoSpaceDN w:val="0"/>
        <w:autoSpaceDE w:val="0"/>
        <w:widowControl/>
        <w:spacing w:line="257" w:lineRule="auto" w:before="282" w:after="0"/>
        <w:ind w:left="2518" w:right="2422" w:hanging="3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administration and management of the porperty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Corporation, the custody of its fund and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maintenance and audit of its accounts; and</w:t>
      </w:r>
    </w:p>
    <w:p>
      <w:pPr>
        <w:autoSpaceDN w:val="0"/>
        <w:tabs>
          <w:tab w:pos="2172" w:val="left"/>
          <w:tab w:pos="2518" w:val="left"/>
        </w:tabs>
        <w:autoSpaceDE w:val="0"/>
        <w:widowControl/>
        <w:spacing w:line="252" w:lineRule="auto" w:before="278" w:after="0"/>
        <w:ind w:left="143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management of the affairs of the Corporation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 the accomplishment of its objects.</w:t>
      </w:r>
    </w:p>
    <w:p>
      <w:pPr>
        <w:autoSpaceDN w:val="0"/>
        <w:autoSpaceDE w:val="0"/>
        <w:widowControl/>
        <w:spacing w:line="254" w:lineRule="auto" w:before="282" w:after="0"/>
        <w:ind w:left="1796" w:right="2422" w:firstLine="242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Any rule made by the  </w:t>
      </w:r>
      <w:r>
        <w:rPr>
          <w:rFonts w:ascii="Times" w:hAnsi="Times" w:eastAsia="Times"/>
          <w:b w:val="0"/>
          <w:i w:val="0"/>
          <w:color w:val="221F1F"/>
          <w:sz w:val="20"/>
        </w:rPr>
        <w:t>Corporation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may be amended,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altered, added to or rescinded at a like meeting and in like </w:t>
      </w:r>
      <w:r>
        <w:rPr>
          <w:rFonts w:ascii="Times" w:hAnsi="Times" w:eastAsia="Times"/>
          <w:b w:val="0"/>
          <w:i w:val="0"/>
          <w:color w:val="000000"/>
          <w:sz w:val="20"/>
        </w:rPr>
        <w:t>manner as a rule made under subsection (1).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574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Al Falah Foundation (Incorporation)</w:t>
      </w:r>
    </w:p>
    <w:p>
      <w:pPr>
        <w:autoSpaceDN w:val="0"/>
        <w:tabs>
          <w:tab w:pos="1942" w:val="left"/>
        </w:tabs>
        <w:autoSpaceDE w:val="0"/>
        <w:widowControl/>
        <w:spacing w:line="257" w:lineRule="auto" w:before="512" w:after="250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Every member of the  </w:t>
      </w:r>
      <w:r>
        <w:rPr>
          <w:rFonts w:ascii="Times" w:hAnsi="Times" w:eastAsia="Times"/>
          <w:b w:val="0"/>
          <w:i w:val="0"/>
          <w:color w:val="221F1F"/>
          <w:sz w:val="20"/>
        </w:rPr>
        <w:t>Corporation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shall be subject to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rules of the  </w:t>
      </w:r>
      <w:r>
        <w:rPr>
          <w:rFonts w:ascii="Times" w:hAnsi="Times" w:eastAsia="Times"/>
          <w:b w:val="0"/>
          <w:i w:val="0"/>
          <w:color w:val="221F1F"/>
          <w:sz w:val="20"/>
        </w:rPr>
        <w:t>Corporation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68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76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7.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All debts and liabilities of the Foundation on the day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Debts due by</w:t>
            </w:r>
          </w:p>
        </w:tc>
      </w:tr>
      <w:tr>
        <w:trPr>
          <w:trHeight w:hRule="exact" w:val="150"/>
        </w:trPr>
        <w:tc>
          <w:tcPr>
            <w:tcW w:type="dxa" w:w="2255"/>
            <w:vMerge/>
            <w:tcBorders/>
          </w:tcPr>
          <w:p/>
        </w:tc>
        <w:tc>
          <w:tcPr>
            <w:tcW w:type="dxa" w:w="50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preceding the date of commencement of this Act, shall be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payable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the</w:t>
            </w:r>
          </w:p>
        </w:tc>
      </w:tr>
      <w:tr>
        <w:trPr>
          <w:trHeight w:hRule="exact" w:val="244"/>
        </w:trPr>
        <w:tc>
          <w:tcPr>
            <w:tcW w:type="dxa" w:w="2255"/>
            <w:vMerge/>
            <w:tcBorders/>
          </w:tcPr>
          <w:p/>
        </w:tc>
        <w:tc>
          <w:tcPr>
            <w:tcW w:type="dxa" w:w="5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paid and discharged by the Corporation hereby constituted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Foundation</w:t>
            </w:r>
          </w:p>
        </w:tc>
      </w:tr>
    </w:tbl>
    <w:p>
      <w:pPr>
        <w:autoSpaceDN w:val="0"/>
        <w:autoSpaceDE w:val="0"/>
        <w:widowControl/>
        <w:spacing w:line="264" w:lineRule="auto" w:before="22" w:after="248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and all debts due to, subscriptions and contributions payable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the Foundation on that date shall be paid to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Corportion </w:t>
      </w:r>
      <w:r>
        <w:rPr>
          <w:rFonts w:ascii="Times" w:hAnsi="Times" w:eastAsia="Times"/>
          <w:b w:val="0"/>
          <w:i w:val="0"/>
          <w:color w:val="000000"/>
          <w:sz w:val="20"/>
        </w:rPr>
        <w:t>for the purposes of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6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2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8.</w:t>
            </w:r>
          </w:p>
        </w:tc>
        <w:tc>
          <w:tcPr>
            <w:tcW w:type="dxa" w:w="4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Corporation shall have its own fund and all moneys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Fund of the</w:t>
            </w:r>
          </w:p>
        </w:tc>
      </w:tr>
      <w:tr>
        <w:trPr>
          <w:trHeight w:hRule="exact" w:val="4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  <w:tr>
        <w:trPr>
          <w:trHeight w:hRule="exact" w:val="27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heretofore or hereafter to be received by way of  gifts,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9" w:lineRule="auto" w:before="16" w:after="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bequests, donations,  subscriptions, contributions, fees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grants for and on account of the Corporation shall be deposited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the credit of the Corporation in one or more banks as the </w:t>
      </w:r>
      <w:r>
        <w:rPr>
          <w:rFonts w:ascii="Times" w:hAnsi="Times" w:eastAsia="Times"/>
          <w:b w:val="0"/>
          <w:i w:val="0"/>
          <w:color w:val="221F1F"/>
          <w:sz w:val="20"/>
        </w:rPr>
        <w:t>Committee of Management shall determine.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71" w:lineRule="auto" w:before="294" w:after="248"/>
        <w:ind w:left="134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 shall be paid out of the fund, all sums of money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required to defray any expenditure incurred by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Corporation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in the exercise, performance and discharge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its powers, duties and functions under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6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9.  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Corporation shall be able and capable in law, to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acquire and hold any property, movable and immovable,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may hold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property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which may become vested in it by virtue of any purchase,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movable and</w:t>
            </w:r>
          </w:p>
        </w:tc>
      </w:tr>
      <w:tr>
        <w:trPr>
          <w:trHeight w:hRule="exact" w:val="30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grant, lease, gift, testamentary disposition or otherwise and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immovable</w:t>
            </w:r>
          </w:p>
        </w:tc>
      </w:tr>
    </w:tbl>
    <w:p>
      <w:pPr>
        <w:autoSpaceDN w:val="0"/>
        <w:tabs>
          <w:tab w:pos="1704" w:val="left"/>
        </w:tabs>
        <w:autoSpaceDE w:val="0"/>
        <w:widowControl/>
        <w:spacing w:line="269" w:lineRule="auto" w:before="22" w:after="0"/>
        <w:ind w:left="134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all such property shall be held by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Corporation for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purposes of this Act and subject to the rules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Corporation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rPr>
          <w:rFonts w:ascii="Times" w:hAnsi="Times" w:eastAsia="Times"/>
          <w:b w:val="0"/>
          <w:i w:val="0"/>
          <w:color w:val="221F1F"/>
          <w:sz w:val="20"/>
        </w:rPr>
        <w:t>made under section 6, with power to sell, mortgage, lease,</w:t>
      </w:r>
    </w:p>
    <w:p>
      <w:pPr>
        <w:autoSpaceDN w:val="0"/>
        <w:autoSpaceDE w:val="0"/>
        <w:widowControl/>
        <w:spacing w:line="238" w:lineRule="auto" w:before="62" w:after="236"/>
        <w:ind w:left="170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exchange or otherwise dispose of the same.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38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10.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If upon the dissolution of the 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Corporation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there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Property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remains after the satisfaction of all its debts and liabilities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remaining on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dissolution</w:t>
            </w:r>
          </w:p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property whatsoever, such property shall not be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distributed among the members of the 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Corporation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but shall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35" w:lineRule="auto" w:before="0" w:after="0"/>
        <w:ind w:left="266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Al Falah Foundation (Incorporation) </w:t>
      </w:r>
      <w:r>
        <w:rPr>
          <w:rFonts w:ascii="Times" w:hAnsi="Times" w:eastAsia="Times"/>
          <w:b w:val="0"/>
          <w:i w:val="0"/>
          <w:color w:val="221F1F"/>
          <w:sz w:val="20"/>
        </w:rPr>
        <w:t>5</w:t>
      </w:r>
    </w:p>
    <w:p>
      <w:pPr>
        <w:autoSpaceDN w:val="0"/>
        <w:autoSpaceDE w:val="0"/>
        <w:widowControl/>
        <w:spacing w:line="257" w:lineRule="auto" w:before="500" w:after="216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 given or transferred to some other institution 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institutions having objects similar to those of the 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Corporation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which, is or are by its or their rules  prohibited from </w:t>
      </w:r>
      <w:r>
        <w:rPr>
          <w:rFonts w:ascii="Times" w:hAnsi="Times" w:eastAsia="Times"/>
          <w:b w:val="0"/>
          <w:i w:val="0"/>
          <w:color w:val="000000"/>
          <w:sz w:val="20"/>
        </w:rPr>
        <w:t>distributing any income or property among their members.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4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11.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financial year of the Corporation shall be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Audit and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calendar year.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accounts of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</w:t>
            </w:r>
          </w:p>
        </w:tc>
      </w:tr>
      <w:tr>
        <w:trPr>
          <w:trHeight w:hRule="exact" w:val="402"/>
        </w:trPr>
        <w:tc>
          <w:tcPr>
            <w:tcW w:type="dxa" w:w="2255"/>
            <w:vMerge/>
            <w:tcBorders/>
          </w:tcPr>
          <w:p/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2" w:after="0"/>
              <w:ind w:left="3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The Corporation shall cause proper accounts to be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</w:tbl>
    <w:p>
      <w:pPr>
        <w:autoSpaceDN w:val="0"/>
        <w:autoSpaceDE w:val="0"/>
        <w:widowControl/>
        <w:spacing w:line="250" w:lineRule="auto" w:before="12" w:after="216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kept of its income and expenditure, assets and liabilities and </w:t>
      </w:r>
      <w:r>
        <w:rPr>
          <w:rFonts w:ascii="Times" w:hAnsi="Times" w:eastAsia="Times"/>
          <w:b w:val="0"/>
          <w:i w:val="0"/>
          <w:color w:val="221F1F"/>
          <w:sz w:val="20"/>
        </w:rPr>
        <w:t>all other transaction of  the  Corporation.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552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60" w:after="0"/>
              <w:ind w:left="98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(3) The accounts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Corporation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shall be audited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every year by the Auditor-General or a qualified auditor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appointed by the Auditor-General.</w:t>
      </w:r>
    </w:p>
    <w:p>
      <w:pPr>
        <w:autoSpaceDN w:val="0"/>
        <w:autoSpaceDE w:val="0"/>
        <w:widowControl/>
        <w:spacing w:line="238" w:lineRule="auto" w:before="276" w:after="216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(4) In this section “a qualified auditor” means–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2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 individual who, being a member of the Institute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 Chartered Accountants of Sri Lanka, or  any other</w:t>
            </w:r>
          </w:p>
        </w:tc>
      </w:tr>
      <w:tr>
        <w:trPr>
          <w:trHeight w:hRule="exact" w:val="26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institute established by law, possesses a certificate</w:t>
            </w:r>
          </w:p>
        </w:tc>
      </w:tr>
    </w:tbl>
    <w:p>
      <w:pPr>
        <w:autoSpaceDN w:val="0"/>
        <w:autoSpaceDE w:val="0"/>
        <w:widowControl/>
        <w:spacing w:line="250" w:lineRule="auto" w:before="12" w:after="216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to practise as an Accountant, issued by the Council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such Institute;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4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firm of Accountants, each of the resident partners</w:t>
            </w:r>
          </w:p>
        </w:tc>
      </w:tr>
      <w:tr>
        <w:trPr>
          <w:trHeight w:hRule="exact" w:val="2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which, being a member of the Institute of Chartered</w:t>
            </w:r>
          </w:p>
        </w:tc>
      </w:tr>
    </w:tbl>
    <w:p>
      <w:pPr>
        <w:autoSpaceDN w:val="0"/>
        <w:autoSpaceDE w:val="0"/>
        <w:widowControl/>
        <w:spacing w:line="257" w:lineRule="auto" w:before="6" w:after="212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Accountants of Sri Lanka, or any other institute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established by law possesses a certificate to practise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 an Accountant issued by the Council of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Institute.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85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12.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Seal of the  Corporation shall not be affixed to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Seal of the</w:t>
            </w:r>
          </w:p>
        </w:tc>
      </w:tr>
      <w:tr>
        <w:trPr>
          <w:trHeight w:hRule="exact" w:val="271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instrument whatsoever  except in the presence of two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</w:tbl>
    <w:p>
      <w:pPr>
        <w:autoSpaceDN w:val="0"/>
        <w:autoSpaceDE w:val="0"/>
        <w:widowControl/>
        <w:spacing w:line="254" w:lineRule="auto" w:before="12" w:after="0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members of the Committee of Management, who shall sign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their names to the instrument in token of their presence and </w:t>
      </w:r>
      <w:r>
        <w:rPr>
          <w:rFonts w:ascii="Times" w:hAnsi="Times" w:eastAsia="Times"/>
          <w:b w:val="0"/>
          <w:i w:val="0"/>
          <w:color w:val="221F1F"/>
          <w:sz w:val="20"/>
        </w:rPr>
        <w:t>such signing shall be independent of the signing of any person</w:t>
      </w:r>
    </w:p>
    <w:p>
      <w:pPr>
        <w:autoSpaceDN w:val="0"/>
        <w:tabs>
          <w:tab w:pos="1798" w:val="left"/>
        </w:tabs>
        <w:autoSpaceDE w:val="0"/>
        <w:widowControl/>
        <w:spacing w:line="276" w:lineRule="auto" w:before="38" w:after="0"/>
        <w:ind w:left="14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as a witness.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460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94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6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29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Al Falah Foundation (Incorporation)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5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Saving of the</w:t>
            </w:r>
          </w:p>
        </w:tc>
      </w:tr>
      <w:tr>
        <w:trPr>
          <w:trHeight w:hRule="exact" w:val="48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2" w:after="0"/>
              <w:ind w:left="0" w:right="8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13.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Nothing in this Act contained shall prejudice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affect the rights of the Republic or of any body politic,  or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rights of the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Republic and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corporate or of any other persons.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others</w:t>
            </w:r>
          </w:p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0" w:right="8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14.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8" w:after="0"/>
              <w:ind w:left="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Sinhala text</w:t>
            </w:r>
          </w:p>
        </w:tc>
      </w:tr>
      <w:tr>
        <w:trPr>
          <w:trHeight w:hRule="exact" w:val="238"/>
        </w:trPr>
        <w:tc>
          <w:tcPr>
            <w:tcW w:type="dxa" w:w="2255"/>
            <w:vMerge/>
            <w:tcBorders/>
          </w:tcPr>
          <w:p/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Sinhala and Tamil texts of this Act, the Sinhala text shall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prevail in</w:t>
            </w:r>
          </w:p>
        </w:tc>
      </w:tr>
      <w:tr>
        <w:trPr>
          <w:trHeight w:hRule="exact" w:val="142"/>
        </w:trPr>
        <w:tc>
          <w:tcPr>
            <w:tcW w:type="dxa" w:w="2255"/>
            <w:vMerge/>
            <w:tcBorders/>
          </w:tcPr>
          <w:p/>
        </w:tc>
        <w:tc>
          <w:tcPr>
            <w:tcW w:type="dxa" w:w="49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prevail.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case of</w:t>
            </w:r>
          </w:p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inconsistency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72"/>
        <w:ind w:left="0" w:right="0"/>
      </w:pPr>
    </w:p>
    <w:p>
      <w:pPr>
        <w:autoSpaceDN w:val="0"/>
        <w:autoSpaceDE w:val="0"/>
        <w:widowControl/>
        <w:spacing w:line="24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03.9999999999998" w:type="dxa"/>
      </w:tblPr>
      <w:tblGrid>
        <w:gridCol w:w="4510"/>
        <w:gridCol w:w="4510"/>
      </w:tblGrid>
      <w:tr>
        <w:trPr>
          <w:trHeight w:hRule="exact" w:val="9376"/>
        </w:trPr>
        <w:tc>
          <w:tcPr>
            <w:tcW w:type="dxa" w:w="4696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37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Al Falah Foundation (Incorporation)</w:t>
            </w:r>
          </w:p>
        </w:tc>
        <w:tc>
          <w:tcPr>
            <w:tcW w:type="dxa" w:w="1582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7</w:t>
            </w:r>
          </w:p>
        </w:tc>
      </w:tr>
    </w:tbl>
    <w:p>
      <w:pPr>
        <w:autoSpaceDN w:val="0"/>
        <w:autoSpaceDE w:val="0"/>
        <w:widowControl/>
        <w:spacing w:line="238" w:lineRule="auto" w:before="32" w:after="0"/>
        <w:ind w:left="0" w:right="3338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