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22,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29.05.2024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2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RUBBER CONTROL (AMENDMENT)</w:t>
      </w:r>
    </w:p>
    <w:p>
      <w:pPr>
        <w:autoSpaceDN w:val="0"/>
        <w:autoSpaceDE w:val="0"/>
        <w:widowControl/>
        <w:spacing w:line="235" w:lineRule="auto" w:before="5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Rubber Control Act</w:t>
      </w:r>
    </w:p>
    <w:p>
      <w:pPr>
        <w:autoSpaceDN w:val="0"/>
        <w:autoSpaceDE w:val="0"/>
        <w:widowControl/>
        <w:spacing w:line="247" w:lineRule="auto" w:before="348" w:after="0"/>
        <w:ind w:left="2016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Agriculture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Plantation Industries</w:t>
      </w:r>
    </w:p>
    <w:p>
      <w:pPr>
        <w:autoSpaceDN w:val="0"/>
        <w:autoSpaceDE w:val="0"/>
        <w:widowControl/>
        <w:spacing w:line="238" w:lineRule="auto" w:before="3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3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0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52" w:right="1426" w:firstLine="26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the Rubber Control Act (Chapter 436) (hereinafter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to as the “principal enactment”) and the legal effect of the section as amended is </w:t>
      </w:r>
      <w:r>
        <w:rPr>
          <w:rFonts w:ascii="Times" w:hAnsi="Times" w:eastAsia="Times"/>
          <w:b w:val="0"/>
          <w:i w:val="0"/>
          <w:color w:val="000000"/>
          <w:sz w:val="16"/>
        </w:rPr>
        <w:t>to replace wherever the words “Controller” and “Rubber Controller” appear with the word</w:t>
      </w:r>
      <w:r>
        <w:rPr>
          <w:rFonts w:ascii="Times" w:hAnsi="Times" w:eastAsia="Times"/>
          <w:b w:val="0"/>
          <w:i w:val="0"/>
          <w:color w:val="000000"/>
          <w:sz w:val="16"/>
        </w:rPr>
        <w:t>“Director-General”.</w:t>
      </w:r>
    </w:p>
    <w:p>
      <w:pPr>
        <w:autoSpaceDN w:val="0"/>
        <w:tabs>
          <w:tab w:pos="1614" w:val="left"/>
        </w:tabs>
        <w:autoSpaceDE w:val="0"/>
        <w:widowControl/>
        <w:spacing w:line="245" w:lineRule="auto" w:before="202" w:after="0"/>
        <w:ind w:left="1352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section 26 of the principal enactment and is a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amendment to Clause 4.</w:t>
      </w:r>
    </w:p>
    <w:p>
      <w:pPr>
        <w:autoSpaceDN w:val="0"/>
        <w:autoSpaceDE w:val="0"/>
        <w:widowControl/>
        <w:spacing w:line="247" w:lineRule="auto" w:before="202" w:after="0"/>
        <w:ind w:left="1352" w:right="1424" w:firstLine="26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the heading “RUBBER CONTROL FUND AND RUBBER </w:t>
      </w:r>
      <w:r>
        <w:rPr>
          <w:rFonts w:ascii="Times" w:hAnsi="Times" w:eastAsia="Times"/>
          <w:b w:val="0"/>
          <w:i w:val="0"/>
          <w:color w:val="000000"/>
          <w:sz w:val="16"/>
        </w:rPr>
        <w:t>ADVISORY BOARD” in Part VI of the principal enactment and inserts a new heading</w:t>
      </w:r>
      <w:r>
        <w:rPr>
          <w:rFonts w:ascii="Times" w:hAnsi="Times" w:eastAsia="Times"/>
          <w:b w:val="0"/>
          <w:i w:val="0"/>
          <w:color w:val="000000"/>
          <w:sz w:val="16"/>
        </w:rPr>
        <w:t>“RUBBER ADVISORY BOARD”.</w:t>
      </w:r>
    </w:p>
    <w:p>
      <w:pPr>
        <w:autoSpaceDN w:val="0"/>
        <w:tabs>
          <w:tab w:pos="1614" w:val="left"/>
        </w:tabs>
        <w:autoSpaceDE w:val="0"/>
        <w:widowControl/>
        <w:spacing w:line="245" w:lineRule="auto" w:before="202" w:after="0"/>
        <w:ind w:left="1352" w:right="129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repeals sections 36, 37, 38, 39A and 50 of the principal </w:t>
      </w:r>
      <w:r>
        <w:rPr>
          <w:rFonts w:ascii="Times" w:hAnsi="Times" w:eastAsia="Times"/>
          <w:b w:val="0"/>
          <w:i w:val="0"/>
          <w:color w:val="000000"/>
          <w:sz w:val="16"/>
        </w:rPr>
        <w:t>enactment and are consequential amendments to Clause 4.</w:t>
      </w:r>
    </w:p>
    <w:p>
      <w:pPr>
        <w:autoSpaceDN w:val="0"/>
        <w:autoSpaceDE w:val="0"/>
        <w:widowControl/>
        <w:spacing w:line="247" w:lineRule="auto" w:before="202" w:after="0"/>
        <w:ind w:left="1352" w:right="1424" w:firstLine="262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repeal the existing definition for the expression “Controller”</w:t>
      </w:r>
      <w:r>
        <w:rPr>
          <w:rFonts w:ascii="Times" w:hAnsi="Times" w:eastAsia="Times"/>
          <w:b w:val="0"/>
          <w:i w:val="0"/>
          <w:color w:val="000000"/>
          <w:sz w:val="16"/>
        </w:rPr>
        <w:t>and insert a new definition for the expression “Director-General”.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Rubber Control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 - O. 31/2022</w:t>
      </w:r>
    </w:p>
    <w:p>
      <w:pPr>
        <w:autoSpaceDN w:val="0"/>
        <w:autoSpaceDE w:val="0"/>
        <w:widowControl/>
        <w:spacing w:line="238" w:lineRule="auto" w:before="276" w:after="0"/>
        <w:ind w:left="0" w:right="3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UBBER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ONTROL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p>
      <w:pPr>
        <w:autoSpaceDN w:val="0"/>
        <w:autoSpaceDE w:val="0"/>
        <w:widowControl/>
        <w:spacing w:line="250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:-</w:t>
      </w:r>
    </w:p>
    <w:p>
      <w:pPr>
        <w:autoSpaceDN w:val="0"/>
        <w:tabs>
          <w:tab w:pos="2038" w:val="left"/>
          <w:tab w:pos="6736" w:val="left"/>
        </w:tabs>
        <w:autoSpaceDE w:val="0"/>
        <w:widowControl/>
        <w:spacing w:line="250" w:lineRule="auto" w:before="276" w:after="216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Rubber Control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Rubber Control Act (Chapter 436) (hereinafter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“principal enactment”) and any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Chapter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there shall be substituted for the words,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 and any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“Controller” and “Rubber Controller” wherever such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written</w:t>
            </w:r>
          </w:p>
        </w:tc>
      </w:tr>
      <w:tr>
        <w:trPr>
          <w:trHeight w:hRule="exact" w:val="25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in the principal enactment and any other written law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 “Director-General”;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4" w:after="1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reference to the “Controller” and “Rubber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Controller” in any other written law or in any notice,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notification, contract, communication form, other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>or document shall from and after the date of the coming into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operation of this Act be read and construed as a reference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“Director-General of the Rubber Development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Department”.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0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402"/>
        <w:ind w:left="0" w:right="1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heading appearing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“PART VI”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heading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VI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heading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274" w:after="0"/>
        <w:ind w:left="0" w:right="34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“RUBBER ADVISORY BOARD”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Rubber Control (Amendment)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36,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37, 38,39,</w:t>
            </w:r>
          </w:p>
        </w:tc>
      </w:tr>
      <w:tr>
        <w:trPr>
          <w:trHeight w:hRule="exact" w:val="864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2" w:val="left"/>
              </w:tabs>
              <w:autoSpaceDE w:val="0"/>
              <w:widowControl/>
              <w:spacing w:line="264" w:lineRule="auto" w:before="266" w:after="0"/>
              <w:ind w:left="88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Sections 36, 37, 38, 39,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50 of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are hereby 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260"/>
        <w:ind w:left="66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50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“Controller”,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52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therefor, of the following new definition 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‘“Director-General” means the Director-General of</w:t>
      </w:r>
    </w:p>
    <w:p>
      <w:pPr>
        <w:autoSpaceDN w:val="0"/>
        <w:autoSpaceDE w:val="0"/>
        <w:widowControl/>
        <w:spacing w:line="238" w:lineRule="auto" w:before="50" w:after="0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Rubber Development Department,</w:t>
      </w:r>
    </w:p>
    <w:p>
      <w:pPr>
        <w:autoSpaceDN w:val="0"/>
        <w:autoSpaceDE w:val="0"/>
        <w:widowControl/>
        <w:spacing w:line="235" w:lineRule="auto" w:before="54" w:after="0"/>
        <w:ind w:left="0" w:right="2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or deemed to have been appointed</w:t>
      </w:r>
    </w:p>
    <w:p>
      <w:pPr>
        <w:autoSpaceDN w:val="0"/>
        <w:autoSpaceDE w:val="0"/>
        <w:widowControl/>
        <w:spacing w:line="238" w:lineRule="auto" w:before="54" w:after="258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Act;”.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20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5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Rubber Control (Amendment)</w:t>
            </w:r>
          </w:p>
        </w:tc>
        <w:tc>
          <w:tcPr>
            <w:tcW w:type="dxa" w:w="84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