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8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406" w:after="0"/>
        <w:ind w:left="0" w:right="328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May 22, 2024</w:t>
      </w:r>
    </w:p>
    <w:p>
      <w:pPr>
        <w:autoSpaceDN w:val="0"/>
        <w:autoSpaceDE w:val="0"/>
        <w:widowControl/>
        <w:spacing w:line="238" w:lineRule="auto" w:before="216" w:after="0"/>
        <w:ind w:left="0" w:right="362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16" w:after="0"/>
        <w:ind w:left="0" w:right="33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29.05.2024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60" w:after="0"/>
        <w:ind w:left="0" w:right="38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380" w:after="0"/>
        <w:ind w:left="0" w:right="1928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4"/>
        </w:rPr>
        <w:t>SAFEGUARD MEASURES (AMENDMENT)</w:t>
      </w:r>
    </w:p>
    <w:p>
      <w:pPr>
        <w:autoSpaceDN w:val="0"/>
        <w:autoSpaceDE w:val="0"/>
        <w:widowControl/>
        <w:spacing w:line="235" w:lineRule="auto" w:before="502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5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40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Safeguard Measures Act, No. 3 of 2018</w:t>
      </w:r>
    </w:p>
    <w:p>
      <w:pPr>
        <w:autoSpaceDN w:val="0"/>
        <w:autoSpaceDE w:val="0"/>
        <w:widowControl/>
        <w:spacing w:line="235" w:lineRule="auto" w:before="344" w:after="0"/>
        <w:ind w:left="0" w:right="21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His Excellency the President</w:t>
      </w:r>
    </w:p>
    <w:p>
      <w:pPr>
        <w:autoSpaceDN w:val="0"/>
        <w:autoSpaceDE w:val="0"/>
        <w:widowControl/>
        <w:spacing w:line="238" w:lineRule="auto" w:before="56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18" w:val="left"/>
        </w:tabs>
        <w:autoSpaceDE w:val="0"/>
        <w:widowControl/>
        <w:spacing w:line="238" w:lineRule="auto" w:before="17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9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0" w:lineRule="exact" w:before="260" w:after="0"/>
        <w:ind w:left="159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4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92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232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12" w:after="0"/>
        <w:ind w:left="1324" w:right="1456" w:firstLine="258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2 of the Safeguard Measures Act, No. 3 of 2018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(hereinafter referred to as the “principal enactment”) and the legal effect of this section as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amended is to make provisions for the powers, duties and functions of the “Director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of Commerce” under the principal enactment to be exercised, performed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discharged by the “Secretary to the Ministry of the Minister assigned the subject of </w:t>
      </w:r>
      <w:r>
        <w:rPr>
          <w:rFonts w:ascii="Times" w:hAnsi="Times" w:eastAsia="Times"/>
          <w:b w:val="0"/>
          <w:i w:val="0"/>
          <w:color w:val="000000"/>
          <w:sz w:val="16"/>
        </w:rPr>
        <w:t>International Trade”.</w:t>
      </w:r>
    </w:p>
    <w:p>
      <w:pPr>
        <w:autoSpaceDN w:val="0"/>
        <w:tabs>
          <w:tab w:pos="1582" w:val="left"/>
        </w:tabs>
        <w:autoSpaceDE w:val="0"/>
        <w:widowControl/>
        <w:spacing w:line="245" w:lineRule="auto" w:before="202" w:after="0"/>
        <w:ind w:left="1324" w:right="1440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the principal enactment and this amendment is </w:t>
      </w:r>
      <w:r>
        <w:rPr>
          <w:rFonts w:ascii="Times" w:hAnsi="Times" w:eastAsia="Times"/>
          <w:b w:val="0"/>
          <w:i w:val="0"/>
          <w:color w:val="000000"/>
          <w:sz w:val="16"/>
        </w:rPr>
        <w:t>consequential to the amendment made by clause 2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Safeguard Measures (Amendment)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D.- O. 46/2024</w:t>
      </w:r>
    </w:p>
    <w:p>
      <w:pPr>
        <w:autoSpaceDN w:val="0"/>
        <w:autoSpaceDE w:val="0"/>
        <w:widowControl/>
        <w:spacing w:line="250" w:lineRule="auto" w:before="280" w:after="0"/>
        <w:ind w:left="2448" w:right="316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AFEGUARD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EASURES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3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2018</w:t>
      </w:r>
    </w:p>
    <w:p>
      <w:pPr>
        <w:autoSpaceDN w:val="0"/>
        <w:autoSpaceDE w:val="0"/>
        <w:widowControl/>
        <w:spacing w:line="238" w:lineRule="auto" w:before="28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it enacted by the Parliament of the Democratic Socialist</w:t>
      </w:r>
    </w:p>
    <w:p>
      <w:pPr>
        <w:autoSpaceDN w:val="0"/>
        <w:autoSpaceDE w:val="0"/>
        <w:widowControl/>
        <w:spacing w:line="238" w:lineRule="auto" w:before="34" w:after="23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4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7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Safeguard Measures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</w:t>
            </w:r>
          </w:p>
        </w:tc>
      </w:tr>
      <w:tr>
        <w:trPr>
          <w:trHeight w:hRule="exact" w:val="412"/>
        </w:trPr>
        <w:tc>
          <w:tcPr>
            <w:tcW w:type="dxa" w:w="2255"/>
            <w:vMerge/>
            <w:tcBorders/>
          </w:tcPr>
          <w:p/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(Amendment) Act, No. 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2024.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7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Section 2 of the Safeguard Measures Act, No. 3 of 2018,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“principal enactment”)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Act, No. 3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thereof, by the substitution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2018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words “the Director General of Commerce (hereinafter</w:t>
      </w:r>
    </w:p>
    <w:p>
      <w:pPr>
        <w:autoSpaceDN w:val="0"/>
        <w:autoSpaceDE w:val="0"/>
        <w:widowControl/>
        <w:spacing w:line="235" w:lineRule="auto" w:before="3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referred to as the “Director General”)”, of the words “Secretary</w:t>
      </w:r>
    </w:p>
    <w:p>
      <w:pPr>
        <w:autoSpaceDN w:val="0"/>
        <w:tabs>
          <w:tab w:pos="1798" w:val="left"/>
        </w:tabs>
        <w:autoSpaceDE w:val="0"/>
        <w:widowControl/>
        <w:spacing w:line="247" w:lineRule="auto" w:before="3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Ministry of the Minister assigned the subject of</w:t>
      </w:r>
    </w:p>
    <w:p>
      <w:pPr>
        <w:autoSpaceDN w:val="0"/>
        <w:autoSpaceDE w:val="0"/>
        <w:widowControl/>
        <w:spacing w:line="238" w:lineRule="auto" w:before="2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International Trade (hereinafter referred to as the</w:t>
      </w:r>
    </w:p>
    <w:p>
      <w:pPr>
        <w:autoSpaceDN w:val="0"/>
        <w:autoSpaceDE w:val="0"/>
        <w:widowControl/>
        <w:spacing w:line="238" w:lineRule="auto" w:before="36" w:after="23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“Secretary”),”.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principal enactment is hereby amended by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Reference to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“Director</w:t>
            </w:r>
          </w:p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 “Director General” wherever those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General” to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occur in the principal enactment, notice, notification,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 reference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contract, communication or other document, of the words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“Secretary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1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“Secretary to the Ministry of the Minister assigned the subject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Ministry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International Trade”.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Minister</w:t>
            </w:r>
          </w:p>
        </w:tc>
      </w:tr>
    </w:tbl>
    <w:p>
      <w:pPr>
        <w:autoSpaceDN w:val="0"/>
        <w:autoSpaceDE w:val="0"/>
        <w:widowControl/>
        <w:spacing w:line="247" w:lineRule="auto" w:before="6" w:after="242"/>
        <w:ind w:left="67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assigned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subject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International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Trade”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6"/>
        <w:ind w:left="0" w:right="0"/>
      </w:pPr>
    </w:p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38.0" w:type="dxa"/>
      </w:tblPr>
      <w:tblGrid>
        <w:gridCol w:w="4510"/>
        <w:gridCol w:w="4510"/>
      </w:tblGrid>
      <w:tr>
        <w:trPr>
          <w:trHeight w:hRule="exact" w:val="252"/>
        </w:trPr>
        <w:tc>
          <w:tcPr>
            <w:tcW w:type="dxa" w:w="602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448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46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Safeguard Measures (Amendment)</w:t>
            </w:r>
          </w:p>
        </w:tc>
      </w:tr>
    </w:tbl>
    <w:p>
      <w:pPr>
        <w:autoSpaceDN w:val="0"/>
        <w:autoSpaceDE w:val="0"/>
        <w:widowControl/>
        <w:spacing w:line="235" w:lineRule="auto" w:before="938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