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66" w:after="0"/>
        <w:ind w:left="0" w:right="32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31, 2024</w:t>
      </w:r>
    </w:p>
    <w:p>
      <w:pPr>
        <w:autoSpaceDN w:val="0"/>
        <w:autoSpaceDE w:val="0"/>
        <w:widowControl/>
        <w:spacing w:line="238" w:lineRule="auto" w:before="214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06.06.2024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2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0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COLOMBO ASSOCIATION OF LANGUAGE SKILLS </w:t>
      </w:r>
      <w:r>
        <w:rPr>
          <w:rFonts w:ascii="Times,Bold" w:hAnsi="Times,Bold" w:eastAsia="Times,Bold"/>
          <w:b/>
          <w:i w:val="0"/>
          <w:color w:val="000000"/>
          <w:sz w:val="24"/>
        </w:rPr>
        <w:t>AND DRAMATIC ART (INCORPORATION)</w:t>
      </w:r>
    </w:p>
    <w:p>
      <w:pPr>
        <w:autoSpaceDN w:val="0"/>
        <w:autoSpaceDE w:val="0"/>
        <w:widowControl/>
        <w:spacing w:line="238" w:lineRule="auto" w:before="128" w:after="0"/>
        <w:ind w:left="0" w:right="34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13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402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Colombo Association of Language Skills </w:t>
      </w:r>
      <w:r>
        <w:rPr>
          <w:rFonts w:ascii="Times,Bold" w:hAnsi="Times,Bold" w:eastAsia="Times,Bold"/>
          <w:b/>
          <w:i w:val="0"/>
          <w:color w:val="000000"/>
          <w:sz w:val="20"/>
        </w:rPr>
        <w:t>and Dramatic Art</w:t>
      </w:r>
    </w:p>
    <w:p>
      <w:pPr>
        <w:autoSpaceDN w:val="0"/>
        <w:autoSpaceDE w:val="0"/>
        <w:widowControl/>
        <w:spacing w:line="245" w:lineRule="auto" w:before="34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To be presented in Parliament by Hon. Shanakiyan Rajaputhiran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Rasamanickam for Batticaloa District</w:t>
      </w:r>
    </w:p>
    <w:p>
      <w:pPr>
        <w:autoSpaceDN w:val="0"/>
        <w:autoSpaceDE w:val="0"/>
        <w:widowControl/>
        <w:spacing w:line="238" w:lineRule="auto" w:before="8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Association of Language Skills and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64" w:lineRule="auto" w:before="292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OLOMBO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ANGUAGE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KILLS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RAMATIC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RT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86" w:lineRule="auto" w:before="336" w:after="0"/>
        <w:ind w:left="145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“Colombo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of Language Skills and Dramatic Art”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established in Sri Lanka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Association according to the rules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83" w:lineRule="auto" w:before="33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64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Colombo Association of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Language Skills and Dramatic Art (Incorporation)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2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Colombo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Colombo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Language Skills and Dramatic Art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hereafter be admitted as members of the body corporate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Language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Skills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shall have perpetual succession under the name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Dramatic Art</w:t>
            </w:r>
          </w:p>
        </w:tc>
      </w:tr>
    </w:tbl>
    <w:p>
      <w:pPr>
        <w:autoSpaceDN w:val="0"/>
        <w:autoSpaceDE w:val="0"/>
        <w:widowControl/>
        <w:spacing w:line="276" w:lineRule="auto" w:before="1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“Colombo Association of Language Skills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Dramatic Art” (hereinafter referred to as the ”body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corporate”), and by that name may sue and be sued with full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5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authority to have, and use a common seal and </w:t>
      </w: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1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tabs>
          <w:tab w:pos="1998" w:val="left"/>
          <w:tab w:pos="2322" w:val="left"/>
          <w:tab w:pos="6622" w:val="left"/>
        </w:tabs>
        <w:autoSpaceDE w:val="0"/>
        <w:widowControl/>
        <w:spacing w:line="278" w:lineRule="auto" w:before="4" w:after="260"/>
        <w:ind w:left="1402" w:right="172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recruit, train and maintain a panel of examiners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and experienced in communication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skills and conduct examination in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Speech, Drama, Verse, Prose, Public Speaking, Spoken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Written English, Personal and Professional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English and grant certificates of competence by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conducting examinations and awarding certificates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to prepare syllabuses in a wide variety of Oral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and Performing Arts reflecting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needs of candidates ;</w:t>
      </w:r>
    </w:p>
    <w:p>
      <w:pPr>
        <w:autoSpaceDN w:val="0"/>
        <w:tabs>
          <w:tab w:pos="2442" w:val="left"/>
          <w:tab w:pos="2802" w:val="left"/>
        </w:tabs>
        <w:autoSpaceDE w:val="0"/>
        <w:widowControl/>
        <w:spacing w:line="274" w:lineRule="auto" w:before="32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to keep these syllabuses under constant review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response to changing patters of training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from examiners, teachers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candidates ;</w:t>
      </w:r>
    </w:p>
    <w:p>
      <w:pPr>
        <w:autoSpaceDN w:val="0"/>
        <w:tabs>
          <w:tab w:pos="2802" w:val="left"/>
        </w:tabs>
        <w:autoSpaceDE w:val="0"/>
        <w:widowControl/>
        <w:spacing w:line="262" w:lineRule="auto" w:before="322" w:after="0"/>
        <w:ind w:left="2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to conduct fair examinations as stated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syllabuses ;</w:t>
      </w:r>
    </w:p>
    <w:p>
      <w:pPr>
        <w:autoSpaceDN w:val="0"/>
        <w:tabs>
          <w:tab w:pos="2398" w:val="left"/>
          <w:tab w:pos="2802" w:val="left"/>
        </w:tabs>
        <w:autoSpaceDE w:val="0"/>
        <w:widowControl/>
        <w:spacing w:line="269" w:lineRule="auto" w:before="32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to give reasonable notice of such examinations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relevant individuals and examination centre;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69" w:lineRule="auto" w:before="322" w:after="0"/>
        <w:ind w:left="280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to collect and distribute the results as early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possible while safeguarding essential checking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procedures 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71" w:lineRule="auto" w:before="32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select material within the syllabuses which will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part of students' repertorie, enabling the grade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examinations to be used as a guideline for teachers;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59" w:lineRule="auto" w:before="280" w:after="0"/>
        <w:ind w:left="2416" w:right="240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students to take the appropriate grade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diploma examinations in a variety of subjects,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thereby broadening and developing their skills to </w:t>
      </w:r>
      <w:r>
        <w:rPr>
          <w:rFonts w:ascii="Times" w:hAnsi="Times" w:eastAsia="Times"/>
          <w:b w:val="0"/>
          <w:i w:val="0"/>
          <w:color w:val="221F1F"/>
          <w:sz w:val="20"/>
        </w:rPr>
        <w:t>the highest level, of their ability;</w:t>
      </w:r>
    </w:p>
    <w:p>
      <w:pPr>
        <w:autoSpaceDN w:val="0"/>
        <w:tabs>
          <w:tab w:pos="2088" w:val="left"/>
          <w:tab w:pos="2416" w:val="left"/>
        </w:tabs>
        <w:autoSpaceDE w:val="0"/>
        <w:widowControl/>
        <w:spacing w:line="264" w:lineRule="auto" w:before="25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foster and encourage a closer bond of friendship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understanding among teachers of English,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Speech, Drama and allied subjects;</w:t>
      </w:r>
    </w:p>
    <w:p>
      <w:pPr>
        <w:autoSpaceDN w:val="0"/>
        <w:tabs>
          <w:tab w:pos="2116" w:val="left"/>
          <w:tab w:pos="2416" w:val="left"/>
        </w:tabs>
        <w:autoSpaceDE w:val="0"/>
        <w:widowControl/>
        <w:spacing w:line="257" w:lineRule="auto" w:before="2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regular teacher training programmes,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workshops and seminars in English, Speech, Drama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allied subjects;</w:t>
      </w:r>
    </w:p>
    <w:p>
      <w:pPr>
        <w:autoSpaceDN w:val="0"/>
        <w:autoSpaceDE w:val="0"/>
        <w:widowControl/>
        <w:spacing w:line="257" w:lineRule="auto" w:before="276" w:after="0"/>
        <w:ind w:left="2416" w:right="240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specialised English courses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personal and professional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communication skills ; and</w:t>
      </w:r>
    </w:p>
    <w:p>
      <w:pPr>
        <w:autoSpaceDN w:val="0"/>
        <w:tabs>
          <w:tab w:pos="2072" w:val="left"/>
          <w:tab w:pos="2416" w:val="left"/>
        </w:tabs>
        <w:autoSpaceDE w:val="0"/>
        <w:widowControl/>
        <w:spacing w:line="262" w:lineRule="auto" w:before="28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the government, professional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bodies and other interested persons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bodies the opportunity of ascertaining the view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matters relating to Oral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and Dramatic Art, if required to do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so.</w:t>
      </w:r>
    </w:p>
    <w:p>
      <w:pPr>
        <w:autoSpaceDN w:val="0"/>
        <w:tabs>
          <w:tab w:pos="1816" w:val="left"/>
          <w:tab w:pos="2296" w:val="left"/>
        </w:tabs>
        <w:autoSpaceDE w:val="0"/>
        <w:widowControl/>
        <w:spacing w:line="259" w:lineRule="auto" w:before="278" w:after="19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(I), the body corporate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gender, political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such other ground.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a manner so as not to create any conflict between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conflit with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 or local authority.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08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Subject to the provisions of this Act, the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administration of the affairs of the body corporate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carried out by the Council.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238" w:after="23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Council shall consist of the following members:-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98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President 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Vice President ;</w:t>
            </w:r>
          </w:p>
        </w:tc>
      </w:tr>
    </w:tbl>
    <w:p>
      <w:pPr>
        <w:autoSpaceDN w:val="0"/>
        <w:tabs>
          <w:tab w:pos="2438" w:val="left"/>
          <w:tab w:pos="2454" w:val="left"/>
          <w:tab w:pos="2482" w:val="left"/>
          <w:tab w:pos="2782" w:val="left"/>
        </w:tabs>
        <w:autoSpaceDE w:val="0"/>
        <w:widowControl/>
        <w:spacing w:line="269" w:lineRule="auto" w:before="1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General Secretary;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Assistant Secretary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Treasurer 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Assistant Treasurer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Chairman-Examination Board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Secretary of the Examination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 the Two Founder Directors ;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62" w:lineRule="auto" w:before="3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such other member elected or appointed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rules made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autoSpaceDE w:val="0"/>
        <w:widowControl/>
        <w:spacing w:line="257" w:lineRule="auto" w:before="296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Council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>Association of Language Skills and Dramatic Art who hold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function as an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until the first Council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in the manner provided for by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Interim Committee shall have the power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relating to the interim administration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election or appointment of the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first Council of the body corporate.</w:t>
      </w:r>
    </w:p>
    <w:p>
      <w:pPr>
        <w:autoSpaceDN w:val="0"/>
        <w:autoSpaceDE w:val="0"/>
        <w:widowControl/>
        <w:spacing w:line="238" w:lineRule="auto" w:before="29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quorum for a meeting of the Interim Committee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six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54" w:lineRule="auto" w:before="278" w:after="0"/>
        <w:ind w:left="180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)Any decision of the Interim Committee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taken by the majority of its members present at any meeting.</w:t>
      </w:r>
    </w:p>
    <w:p>
      <w:pPr>
        <w:autoSpaceDN w:val="0"/>
        <w:tabs>
          <w:tab w:pos="1806" w:val="left"/>
          <w:tab w:pos="2286" w:val="left"/>
        </w:tabs>
        <w:autoSpaceDE w:val="0"/>
        <w:widowControl/>
        <w:spacing w:line="262" w:lineRule="auto" w:before="298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Council of the body corporate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806" w:val="left"/>
          <w:tab w:pos="204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Every office bearer of the Council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for a period of one year from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general meeting and any such office bearer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re-appointment or re-election after the lapse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said period of one year:</w:t>
      </w:r>
    </w:p>
    <w:p>
      <w:pPr>
        <w:autoSpaceDN w:val="0"/>
        <w:autoSpaceDE w:val="0"/>
        <w:widowControl/>
        <w:spacing w:line="264" w:lineRule="auto" w:before="292" w:after="0"/>
        <w:ind w:left="1806" w:right="241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President, Vise President,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Treasurer, Assistant Treasurer and corporate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not hold such office for more than three </w:t>
      </w:r>
      <w:r>
        <w:rPr>
          <w:rFonts w:ascii="Times" w:hAnsi="Times" w:eastAsia="Times"/>
          <w:b w:val="0"/>
          <w:i w:val="0"/>
          <w:color w:val="221F1F"/>
          <w:sz w:val="20"/>
        </w:rPr>
        <w:t>consecutive terms.</w:t>
      </w:r>
    </w:p>
    <w:p>
      <w:pPr>
        <w:autoSpaceDN w:val="0"/>
        <w:tabs>
          <w:tab w:pos="1806" w:val="left"/>
          <w:tab w:pos="2286" w:val="left"/>
        </w:tabs>
        <w:autoSpaceDE w:val="0"/>
        <w:widowControl/>
        <w:spacing w:line="264" w:lineRule="auto" w:before="29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shall, having regard to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tabs>
          <w:tab w:pos="1806" w:val="left"/>
          <w:tab w:pos="2286" w:val="left"/>
        </w:tabs>
        <w:autoSpaceDE w:val="0"/>
        <w:widowControl/>
        <w:spacing w:line="262" w:lineRule="auto" w:before="296" w:after="238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elected or appointed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hold office only for the unexpected portion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 of office of the member whom the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furthermore of the objects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body corporate or any one of them, including the power-</w:t>
      </w:r>
    </w:p>
    <w:p>
      <w:pPr>
        <w:autoSpaceDN w:val="0"/>
        <w:tabs>
          <w:tab w:pos="2406" w:val="left"/>
        </w:tabs>
        <w:autoSpaceDE w:val="0"/>
        <w:widowControl/>
        <w:spacing w:line="257" w:lineRule="auto" w:before="298" w:after="0"/>
        <w:ind w:left="20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act on matters affecting the interest of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74" w:lineRule="auto" w:before="290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regulate professional activities and ensure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high standards in the general conduct </w:t>
      </w:r>
      <w:r>
        <w:rPr>
          <w:rFonts w:ascii="Times" w:hAnsi="Times" w:eastAsia="Times"/>
          <w:b w:val="0"/>
          <w:i w:val="0"/>
          <w:color w:val="221F1F"/>
          <w:sz w:val="20"/>
        </w:rPr>
        <w:t>of the members of the body corporate;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74" w:lineRule="auto" w:before="33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an Examinations Board, Advisory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Disciplinary Committee consisting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number of members as may  be specified by rules ;</w:t>
      </w:r>
    </w:p>
    <w:p>
      <w:pPr>
        <w:autoSpaceDN w:val="0"/>
        <w:tabs>
          <w:tab w:pos="2322" w:val="left"/>
        </w:tabs>
        <w:autoSpaceDE w:val="0"/>
        <w:widowControl/>
        <w:spacing w:line="264" w:lineRule="auto" w:before="334" w:after="0"/>
        <w:ind w:left="1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disciplinary action against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83" w:lineRule="auto" w:before="33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;</w:t>
      </w:r>
    </w:p>
    <w:p>
      <w:pPr>
        <w:autoSpaceDN w:val="0"/>
        <w:tabs>
          <w:tab w:pos="2022" w:val="left"/>
          <w:tab w:pos="2322" w:val="left"/>
        </w:tabs>
        <w:autoSpaceDE w:val="0"/>
        <w:widowControl/>
        <w:spacing w:line="288" w:lineRule="auto" w:before="29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an perform or carry out, whether directly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on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 by the body corporate, all such contracts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objects or the exercise of the powers of the body</w:t>
      </w:r>
    </w:p>
    <w:p>
      <w:pPr>
        <w:autoSpaceDN w:val="0"/>
        <w:tabs>
          <w:tab w:pos="2322" w:val="left"/>
        </w:tabs>
        <w:autoSpaceDE w:val="0"/>
        <w:widowControl/>
        <w:spacing w:line="274" w:lineRule="auto" w:before="5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autoSpaceDE w:val="0"/>
        <w:widowControl/>
        <w:spacing w:line="274" w:lineRule="auto" w:before="300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tabs>
          <w:tab w:pos="2302" w:val="left"/>
          <w:tab w:pos="3124" w:val="left"/>
        </w:tabs>
        <w:autoSpaceDE w:val="0"/>
        <w:widowControl/>
        <w:spacing w:line="271" w:lineRule="auto" w:before="332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by the body corporate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74" w:lineRule="auto" w:before="27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 sell and issue bills or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 operate, maintain and close accounts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 bank ;</w:t>
      </w:r>
    </w:p>
    <w:p>
      <w:pPr>
        <w:autoSpaceDN w:val="0"/>
        <w:autoSpaceDE w:val="0"/>
        <w:widowControl/>
        <w:spacing w:line="266" w:lineRule="auto" w:before="312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the body corporate, in such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Council may determine 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66" w:lineRule="auto" w:before="31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promoting the objects of the body corporate 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74" w:lineRule="auto" w:before="3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 ;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12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organize, lectures, seminars and conferences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promote the objectives of the body corporate 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66" w:lineRule="auto" w:before="31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and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1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personnel in Sri Lanka or abroad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the body corporate ; and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64" w:lineRule="auto" w:before="31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necessary or expedient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 and effective carrying out of the 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18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 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at any general meeting of the body corporate and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majority of not less than two-thirds of the members present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22" w:val="left"/>
        </w:tabs>
        <w:autoSpaceDE w:val="0"/>
        <w:widowControl/>
        <w:spacing w:line="264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for all or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 :-</w:t>
      </w:r>
    </w:p>
    <w:p>
      <w:pPr>
        <w:autoSpaceDN w:val="0"/>
        <w:autoSpaceDE w:val="0"/>
        <w:widowControl/>
        <w:spacing w:line="276" w:lineRule="auto" w:before="328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 abbreviated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designations of the membership admissions,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and </w:t>
      </w:r>
      <w:r>
        <w:rPr>
          <w:rFonts w:ascii="Times" w:hAnsi="Times" w:eastAsia="Times"/>
          <w:b w:val="0"/>
          <w:i w:val="0"/>
          <w:color w:val="221F1F"/>
          <w:sz w:val="20"/>
        </w:rPr>
        <w:t>subscription payable by the members ;</w:t>
      </w:r>
    </w:p>
    <w:p>
      <w:pPr>
        <w:autoSpaceDN w:val="0"/>
        <w:tabs>
          <w:tab w:pos="1978" w:val="left"/>
          <w:tab w:pos="2322" w:val="left"/>
        </w:tabs>
        <w:autoSpaceDE w:val="0"/>
        <w:widowControl/>
        <w:spacing w:line="278" w:lineRule="auto" w:before="32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Council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duties, and functions or the office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;</w:t>
      </w:r>
    </w:p>
    <w:p>
      <w:pPr>
        <w:autoSpaceDN w:val="0"/>
        <w:autoSpaceDE w:val="0"/>
        <w:widowControl/>
        <w:spacing w:line="238" w:lineRule="auto" w:before="326" w:after="0"/>
        <w:ind w:left="19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composition of the Examination Board, Advisory</w:t>
      </w:r>
    </w:p>
    <w:p>
      <w:pPr>
        <w:autoSpaceDN w:val="0"/>
        <w:tabs>
          <w:tab w:pos="2322" w:val="left"/>
        </w:tabs>
        <w:autoSpaceDE w:val="0"/>
        <w:widowControl/>
        <w:spacing w:line="283" w:lineRule="auto" w:before="5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and Disciplinary Committee,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 bearers of such Board and Committees;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of such Board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the functions of the Secretary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Board, the nomination of the panel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examiners; and any other matters relating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and Committee ;</w:t>
      </w:r>
    </w:p>
    <w:p>
      <w:pPr>
        <w:autoSpaceDN w:val="0"/>
        <w:autoSpaceDE w:val="0"/>
        <w:widowControl/>
        <w:spacing w:line="274" w:lineRule="auto" w:before="330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officers, agents, and </w:t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71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for the summoning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holding of meetings of the Council or any sub-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52" w:lineRule="auto" w:before="268" w:after="0"/>
        <w:ind w:left="2416" w:right="240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qualifications and disqualifications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Council and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code of conduct for the members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tabs>
          <w:tab w:pos="2072" w:val="left"/>
          <w:tab w:pos="2416" w:val="left"/>
        </w:tabs>
        <w:autoSpaceDE w:val="0"/>
        <w:widowControl/>
        <w:spacing w:line="250" w:lineRule="auto" w:before="258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 and</w:t>
      </w:r>
    </w:p>
    <w:p>
      <w:pPr>
        <w:autoSpaceDN w:val="0"/>
        <w:autoSpaceDE w:val="0"/>
        <w:widowControl/>
        <w:spacing w:line="250" w:lineRule="auto" w:before="264" w:after="0"/>
        <w:ind w:left="2416" w:right="240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 the management of the affairs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0" w:lineRule="auto" w:before="26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body corporate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to, or rescinded at a like meeting and in like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tabs>
          <w:tab w:pos="2056" w:val="left"/>
        </w:tabs>
        <w:autoSpaceDE w:val="0"/>
        <w:widowControl/>
        <w:spacing w:line="247" w:lineRule="auto" w:before="264" w:after="206"/>
        <w:ind w:left="18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members of the body corporate shall, at all times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the rules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Council shall maintain a register of members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name, address and other essential details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 have its own Fund.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sums of money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816" w:val="left"/>
        </w:tabs>
        <w:autoSpaceDE w:val="0"/>
        <w:widowControl/>
        <w:spacing w:line="252" w:lineRule="auto" w:before="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bequests, donations, subscriptions, contributions, fees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 and on account of the body corporate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in one or more banks approved by the Council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credit of the body corporate.</w:t>
      </w:r>
    </w:p>
    <w:p>
      <w:pPr>
        <w:autoSpaceDN w:val="0"/>
        <w:autoSpaceDE w:val="0"/>
        <w:widowControl/>
        <w:spacing w:line="259" w:lineRule="auto" w:before="260" w:after="0"/>
        <w:ind w:left="1816" w:right="240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money as are required to defray any expenditure incurred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02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0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35" w:lineRule="auto" w:before="222" w:after="14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body corporate shall cause proper accounts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kept of its income and expenditure, assets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transactions of the body corporate.</w:t>
            </w:r>
          </w:p>
        </w:tc>
      </w:tr>
    </w:tbl>
    <w:p>
      <w:pPr>
        <w:autoSpaceDN w:val="0"/>
        <w:autoSpaceDE w:val="0"/>
        <w:widowControl/>
        <w:spacing w:line="259" w:lineRule="auto" w:before="218" w:after="0"/>
        <w:ind w:left="1722" w:right="249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-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- General in terms of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Article 154 of the Constitution.</w:t>
      </w:r>
    </w:p>
    <w:p>
      <w:pPr>
        <w:autoSpaceDN w:val="0"/>
        <w:tabs>
          <w:tab w:pos="1722" w:val="left"/>
          <w:tab w:pos="2202" w:val="left"/>
        </w:tabs>
        <w:autoSpaceDE w:val="0"/>
        <w:widowControl/>
        <w:spacing w:line="250" w:lineRule="auto" w:before="28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1978" w:val="left"/>
          <w:tab w:pos="2322" w:val="left"/>
        </w:tabs>
        <w:autoSpaceDE w:val="0"/>
        <w:widowControl/>
        <w:spacing w:line="259" w:lineRule="auto" w:before="2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Institute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as an Accountant, issued by the Council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 ; or</w:t>
      </w:r>
    </w:p>
    <w:p>
      <w:pPr>
        <w:autoSpaceDN w:val="0"/>
        <w:tabs>
          <w:tab w:pos="1978" w:val="left"/>
          <w:tab w:pos="2322" w:val="left"/>
        </w:tabs>
        <w:autoSpaceDE w:val="0"/>
        <w:widowControl/>
        <w:spacing w:line="259" w:lineRule="auto" w:before="282" w:after="222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off Accountants, each of the resident partners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prepare a report of the activities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together with the audited statement of accounts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18"/>
        <w:ind w:left="1722" w:right="249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by the Auditor - General or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- General, to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subject of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43 or 44 of the Constitution before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expiration of six months of the year succeeding the year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such report relates.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3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64" w:lineRule="auto" w:before="268" w:after="214"/>
        <w:ind w:left="1816" w:right="240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and local sums of money received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during the financial year shall be attached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Colombo Association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Language Skills and Dramatic Art existing on the day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preceding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Colombo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shall be paid by the body corporate hereby constituted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Language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  and subscriptions and contributions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Skills and</w:t>
            </w:r>
          </w:p>
        </w:tc>
      </w:tr>
      <w:tr>
        <w:trPr>
          <w:trHeight w:hRule="exact" w:val="2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to the Colombo Association of Language Skills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Dramatic Art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6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Dramatic Art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Subject to the the provisions of this Act, the body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16" w:val="left"/>
        </w:tabs>
        <w:autoSpaceDE w:val="0"/>
        <w:widowControl/>
        <w:spacing w:line="264" w:lineRule="auto" w:before="18" w:after="23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sums of money and property of the body corporate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sums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portion thereof shall be paid or transferred directly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236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divided, bonus or profit to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body corporate shall not be affixed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Council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6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62" w:lineRule="auto" w:before="268" w:after="23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 of an office bearer of the Corporate as may be decided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upon the dissolution of the body corporate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body corporate,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institution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62" w:lineRule="auto" w:before="296" w:after="1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of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Nothing in this Act contained shall prejudice or affect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any body politic or corporate.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52"/>
        <w:ind w:left="0" w:right="0"/>
      </w:pPr>
    </w:p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Association of Language Skills and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38" w:lineRule="auto" w:before="929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