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32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June 20, 2024</w:t>
      </w:r>
    </w:p>
    <w:p>
      <w:pPr>
        <w:autoSpaceDN w:val="0"/>
        <w:autoSpaceDE w:val="0"/>
        <w:widowControl/>
        <w:spacing w:line="238" w:lineRule="auto" w:before="32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26.06.2024)</w:t>
      </w:r>
    </w:p>
    <w:p>
      <w:pPr>
        <w:autoSpaceDN w:val="0"/>
        <w:autoSpaceDE w:val="0"/>
        <w:widowControl/>
        <w:spacing w:line="240" w:lineRule="auto" w:before="18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62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ASSOCIATION  OF HUMAN  RESOURCES </w:t>
      </w:r>
      <w:r>
        <w:rPr>
          <w:rFonts w:ascii="Times,Bold" w:hAnsi="Times,Bold" w:eastAsia="Times,Bold"/>
          <w:b/>
          <w:i w:val="0"/>
          <w:color w:val="221F1F"/>
          <w:sz w:val="24"/>
        </w:rPr>
        <w:t>PROFESSIONALS (INCORPORATION)</w:t>
      </w:r>
    </w:p>
    <w:p>
      <w:pPr>
        <w:autoSpaceDN w:val="0"/>
        <w:autoSpaceDE w:val="0"/>
        <w:widowControl/>
        <w:spacing w:line="235" w:lineRule="auto" w:before="180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70" w:after="0"/>
        <w:ind w:left="0" w:right="43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06" w:after="0"/>
        <w:ind w:left="171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incorporrate  the Association of Human Resources Professionals</w:t>
      </w:r>
    </w:p>
    <w:p>
      <w:pPr>
        <w:autoSpaceDN w:val="0"/>
        <w:autoSpaceDE w:val="0"/>
        <w:widowControl/>
        <w:spacing w:line="245" w:lineRule="auto" w:before="242" w:after="0"/>
        <w:ind w:left="2016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Madhura Withanage,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Attorney-at-Law, M. P. for Colombo District</w:t>
      </w:r>
    </w:p>
    <w:p>
      <w:pPr>
        <w:autoSpaceDN w:val="0"/>
        <w:autoSpaceDE w:val="0"/>
        <w:widowControl/>
        <w:spacing w:line="245" w:lineRule="auto" w:before="26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Association of Human Resources Professionals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7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3254" w:val="left"/>
        </w:tabs>
        <w:autoSpaceDE w:val="0"/>
        <w:widowControl/>
        <w:spacing w:line="262" w:lineRule="auto" w:before="274" w:after="0"/>
        <w:ind w:left="243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ESOURCES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ROFESSIONALS</w:t>
      </w:r>
    </w:p>
    <w:p>
      <w:pPr>
        <w:autoSpaceDN w:val="0"/>
        <w:tabs>
          <w:tab w:pos="1798" w:val="left"/>
          <w:tab w:pos="6736" w:val="left"/>
        </w:tabs>
        <w:autoSpaceDE w:val="0"/>
        <w:widowControl/>
        <w:spacing w:line="272" w:lineRule="exact" w:before="272" w:after="0"/>
        <w:ind w:left="1526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Association called and known as 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Preamble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“Association of Human Resources Professionals”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heretofore been formed in Sri Lanka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effectually carrying out its objects and transacting all matters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said Association according to the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74" w:lineRule="auto" w:before="31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Association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application:</w:t>
      </w:r>
    </w:p>
    <w:p>
      <w:pPr>
        <w:autoSpaceDN w:val="0"/>
        <w:autoSpaceDE w:val="0"/>
        <w:widowControl/>
        <w:spacing w:line="259" w:lineRule="auto" w:before="318" w:after="25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cited as the Association of Human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Resources Professionals (Incorporation) Act,  No.     of  2024.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ncorporation</w:t>
            </w:r>
          </w:p>
        </w:tc>
      </w:tr>
      <w:tr>
        <w:trPr>
          <w:trHeight w:hRule="exact" w:val="4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persons who, at the time of the coming into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of this Act, are members of the Association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Association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Human resources Professionals (hereinafter referred to as “the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Human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Association”) and such other persons as are hereafter enrolled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Resources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Professionals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members of the Association shall be a body corporate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18" w:after="252"/>
        <w:ind w:left="179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“the corporation”) with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>succession and the common seal under the name and style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“the Association of Human Resources Professionals”.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 may sue and be sued by that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shall be:-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68" w:val="left"/>
          <w:tab w:pos="3458" w:val="left"/>
        </w:tabs>
        <w:autoSpaceDE w:val="0"/>
        <w:widowControl/>
        <w:spacing w:line="228" w:lineRule="exact" w:before="38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Association of Human Resources Professionals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68" w:after="23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serve as a source of information for Human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Professionals to help resolve their work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related problems;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serve as a forum for Human Resources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Professionals to meet, fraternize and exchange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6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ideas;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6" w:after="18"/>
        <w:ind w:left="2034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prepare and publish Journals, Books, Pamphlets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Papers and to utilize any other means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communication to promote good Human Resources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practices;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training and development support for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9" w:lineRule="auto" w:before="1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Human Resource Professionals by way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organizing and promoting Programs/ Workshops/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Seminars and undertaking Studies and Research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Projects for the Government, Private Sector.</w:t>
      </w:r>
    </w:p>
    <w:p>
      <w:pPr>
        <w:autoSpaceDN w:val="0"/>
        <w:autoSpaceDE w:val="0"/>
        <w:widowControl/>
        <w:spacing w:line="254" w:lineRule="auto" w:before="20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Agencies and other Institutions 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request of the said entities on Human Resources;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understanding, co-operation and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friendship with Human Resources Organizations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and outside Sri Lanka;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collaborate or form strategic alliances or any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6" w:lineRule="auto" w:before="16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mode of co-operation with other organizations,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Institutions or Non-Governmental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in key areas of Human Resources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Developments and Industrial Relations, within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9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growth and development in the area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human resources by establishing a network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mutual assistance, information sharing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consultations;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56" w:val="left"/>
          <w:tab w:pos="6478" w:val="left"/>
        </w:tabs>
        <w:autoSpaceDE w:val="0"/>
        <w:widowControl/>
        <w:spacing w:line="248" w:lineRule="exact" w:before="0" w:after="0"/>
        <w:ind w:left="226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Association of Human Resources Professionals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6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all other things incidental or conducive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attainment of the above objects or the exercise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above powers.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9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shall be carried out without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discrimination based on race, religion, language, caste,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gender, political opinion, place of birth or any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Corporation shall be carried out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manner so as not to create any conflict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ensure no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Corporation and any work being carried 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</w:tbl>
    <w:p>
      <w:pPr>
        <w:autoSpaceDN w:val="0"/>
        <w:autoSpaceDE w:val="0"/>
        <w:widowControl/>
        <w:spacing w:line="245" w:lineRule="auto" w:before="6" w:after="272"/>
        <w:ind w:left="673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Provincial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Councils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 the affairs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be carried  out by a Board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(hereinafter referred to as “the Board”)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consisting of such number of office bearers as may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specified by the rules made under section 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Board of Directors of the Association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holds office on the date immediately preceding the date of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1798" w:right="241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function as the Board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Corporation until the first Board is appointed or elected </w:t>
      </w:r>
      <w:r>
        <w:rPr>
          <w:rFonts w:ascii="Times" w:hAnsi="Times" w:eastAsia="Times"/>
          <w:b w:val="0"/>
          <w:i w:val="0"/>
          <w:color w:val="000000"/>
          <w:sz w:val="20"/>
        </w:rPr>
        <w:t>in the manner provided for by rules made under section 7.</w:t>
      </w:r>
    </w:p>
    <w:p>
      <w:pPr>
        <w:autoSpaceDN w:val="0"/>
        <w:tabs>
          <w:tab w:pos="1798" w:val="left"/>
          <w:tab w:pos="2076" w:val="left"/>
        </w:tabs>
        <w:autoSpaceDE w:val="0"/>
        <w:widowControl/>
        <w:spacing w:line="254" w:lineRule="auto" w:before="276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Board of the Corporation shall be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elected within one year of the date of commencement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250" w:lineRule="auto" w:before="276" w:after="0"/>
        <w:ind w:left="1796" w:right="2304" w:firstLine="24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Board including the </w:t>
      </w:r>
      <w:r>
        <w:rPr>
          <w:rFonts w:ascii="Times" w:hAnsi="Times" w:eastAsia="Times"/>
          <w:b w:val="0"/>
          <w:i w:val="0"/>
          <w:color w:val="000000"/>
          <w:sz w:val="20"/>
        </w:rPr>
        <w:t>patrons and advisors, shall be appointed or elected for a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68" w:val="left"/>
          <w:tab w:pos="3458" w:val="left"/>
        </w:tabs>
        <w:autoSpaceDE w:val="0"/>
        <w:widowControl/>
        <w:spacing w:line="228" w:lineRule="exact" w:before="38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Association of Human Resources Professionals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26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period of three years and any such office bearer, patron or</w:t>
      </w:r>
    </w:p>
    <w:p>
      <w:pPr>
        <w:autoSpaceDN w:val="0"/>
        <w:autoSpaceDE w:val="0"/>
        <w:widowControl/>
        <w:spacing w:line="254" w:lineRule="auto" w:before="3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 shall be eligible for re-appointment or re-election </w:t>
      </w:r>
      <w:r>
        <w:rPr>
          <w:rFonts w:ascii="Times" w:hAnsi="Times" w:eastAsia="Times"/>
          <w:b w:val="0"/>
          <w:i w:val="0"/>
          <w:color w:val="000000"/>
          <w:sz w:val="20"/>
        </w:rPr>
        <w:t>after lapse of the said period of three years.</w:t>
      </w:r>
    </w:p>
    <w:p>
      <w:pPr>
        <w:autoSpaceDN w:val="0"/>
        <w:autoSpaceDE w:val="0"/>
        <w:widowControl/>
        <w:spacing w:line="238" w:lineRule="auto" w:before="29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the event of a vacancy occurring due to the death,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0"/>
        <w:ind w:left="140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000000"/>
          <w:sz w:val="20"/>
        </w:rPr>
        <w:t>bearer, the Board shall having regard to the rules of the</w:t>
      </w:r>
    </w:p>
    <w:p>
      <w:pPr>
        <w:autoSpaceDN w:val="0"/>
        <w:autoSpaceDE w:val="0"/>
        <w:widowControl/>
        <w:spacing w:line="235" w:lineRule="auto" w:before="3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Corporation, elect or appoint a person to fill such vacancy.</w:t>
      </w:r>
    </w:p>
    <w:p>
      <w:pPr>
        <w:autoSpaceDN w:val="0"/>
        <w:autoSpaceDE w:val="0"/>
        <w:widowControl/>
        <w:spacing w:line="257" w:lineRule="auto" w:before="298" w:after="0"/>
        <w:ind w:left="1704" w:right="2448" w:firstLine="23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shall hold office only for the remaining period of the term of</w:t>
      </w:r>
    </w:p>
    <w:p>
      <w:pPr>
        <w:autoSpaceDN w:val="0"/>
        <w:tabs>
          <w:tab w:pos="1704" w:val="left"/>
        </w:tabs>
        <w:autoSpaceDE w:val="0"/>
        <w:widowControl/>
        <w:spacing w:line="254" w:lineRule="auto" w:before="34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office of the member whom he succeeds.</w:t>
      </w:r>
    </w:p>
    <w:p>
      <w:pPr>
        <w:autoSpaceDN w:val="0"/>
        <w:autoSpaceDE w:val="0"/>
        <w:widowControl/>
        <w:spacing w:line="254" w:lineRule="auto" w:before="280" w:after="0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Board administering the affairs of the 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shall cause a register of members of the Corporation to be</w:t>
      </w:r>
    </w:p>
    <w:p>
      <w:pPr>
        <w:autoSpaceDN w:val="0"/>
        <w:autoSpaceDE w:val="0"/>
        <w:widowControl/>
        <w:spacing w:line="257" w:lineRule="auto" w:before="36" w:after="16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kept. There shall be inscribed in such register the name of </w:t>
      </w:r>
      <w:r>
        <w:rPr>
          <w:rFonts w:ascii="Times" w:hAnsi="Times" w:eastAsia="Times"/>
          <w:b w:val="0"/>
          <w:i w:val="0"/>
          <w:color w:val="000000"/>
          <w:sz w:val="20"/>
        </w:rPr>
        <w:t>every person who, at the date of the coming into operation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Act, is a member of the Association and the name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person who is thereafter duly enrolled as a member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194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Association.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 of any other written law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prejudice to the generality  of the powers conferred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Corporation by this Act, Corporation shall have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4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 to do, perform and execute all such acts and matters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necessary or desirable for the purpose of achieving the </w:t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Corporation, including the power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purchase, acquire rent, construct, renovate and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obtain lands or buildings which may be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the purpose of the Corporation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deal with or dispose of the same as may be deemed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expedient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raise funds and receive grants, gifts or donations,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cash or kind: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56" w:val="left"/>
          <w:tab w:pos="6478" w:val="left"/>
        </w:tabs>
        <w:autoSpaceDE w:val="0"/>
        <w:widowControl/>
        <w:spacing w:line="248" w:lineRule="exact" w:before="0" w:after="0"/>
        <w:ind w:left="226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Association of Human Resources Professionals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516" w:val="left"/>
          <w:tab w:pos="2716" w:val="left"/>
        </w:tabs>
        <w:autoSpaceDE w:val="0"/>
        <w:widowControl/>
        <w:spacing w:line="252" w:lineRule="auto" w:before="256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Board shall obtain the 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approval of all the relevant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Ministries and Departments as may become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to time including the Department of External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of the Ministry of the Minister assigned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 of Finance, in respect of all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grants, gifts or donations made to the Corporation;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52" w:lineRule="auto" w:before="260" w:after="20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make, draw, accept, discount, endorse, negotiate,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buy sell and issue bills of exchange, cheques,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 and other negotiable instruments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open, operate and close accounts in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not immediately required for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purposes of the Corporation in such manner as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may determine;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96"/>
        <w:ind w:left="2516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any lawful trust for any land or personal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 employ, dismiss or terminate the services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0"/>
        <w:ind w:left="2516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employees of the Corporation and exercise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control over them and to pay them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salaries, allowances and gratuities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do all other things as are necessary or expedient</w:t>
            </w:r>
          </w:p>
        </w:tc>
      </w:tr>
    </w:tbl>
    <w:p>
      <w:pPr>
        <w:autoSpaceDN w:val="0"/>
        <w:autoSpaceDE w:val="0"/>
        <w:widowControl/>
        <w:spacing w:line="247" w:lineRule="auto" w:before="4" w:after="20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proper and effective carrying out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It shall be lawful for the Corporation, from time 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at any general meeting and by the votes of not less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two thirds of the members present and voting, to make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rules, not inconsistent with the provision of this Act or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other written law, for all or any of the following matters:-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68" w:val="left"/>
          <w:tab w:pos="3458" w:val="left"/>
        </w:tabs>
        <w:autoSpaceDE w:val="0"/>
        <w:widowControl/>
        <w:spacing w:line="228" w:lineRule="exact" w:before="38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Association of Human Resources Professionals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membership, admission,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fees payable by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office bearers of the Board or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vacation of or removal from office of office bearers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bearers;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 and duties of the various officers , agents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servants of the Corporation;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at the summoning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Board,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sub-committee thereof, notices and agenda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meetings, the quorum and the conduct of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thereat;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 and disqualification to be a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member of the Board and the Corporation;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management of the affairs of the Corporation,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accomplishment of its objects and dissolution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Corporation.</w:t>
      </w:r>
    </w:p>
    <w:p>
      <w:pPr>
        <w:autoSpaceDN w:val="0"/>
        <w:autoSpaceDE w:val="0"/>
        <w:widowControl/>
        <w:spacing w:line="245" w:lineRule="auto" w:before="254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rules of the Corporation may be amended, altered, </w:t>
      </w:r>
      <w:r>
        <w:rPr>
          <w:rFonts w:ascii="Times" w:hAnsi="Times" w:eastAsia="Times"/>
          <w:b w:val="0"/>
          <w:i w:val="0"/>
          <w:color w:val="000000"/>
          <w:sz w:val="20"/>
        </w:rPr>
        <w:t>added to or rescinded in a like manner as a rule made under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subsection(1).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3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 of the Corporation shall be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rules of the Corporation.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>in the Government Gazette.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56" w:val="left"/>
          <w:tab w:pos="6478" w:val="left"/>
        </w:tabs>
        <w:autoSpaceDE w:val="0"/>
        <w:widowControl/>
        <w:spacing w:line="248" w:lineRule="exact" w:before="0" w:after="0"/>
        <w:ind w:left="226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Association of Human Resources Professionals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6736" w:val="left"/>
        </w:tabs>
        <w:autoSpaceDE w:val="0"/>
        <w:widowControl/>
        <w:spacing w:line="252" w:lineRule="auto" w:before="256" w:after="0"/>
        <w:ind w:left="2038" w:right="144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8.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Corporation shall have its own Fund.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Fund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Corporation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58" w:after="0"/>
        <w:ind w:left="150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moneys received by way of gift, bequest, donation,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subscription, contribution, fees or grants for an account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Corporation shall be deposited in one or more Banks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approved by the Board to the credit of the Corporation.</w:t>
      </w:r>
    </w:p>
    <w:p>
      <w:pPr>
        <w:autoSpaceDN w:val="0"/>
        <w:autoSpaceDE w:val="0"/>
        <w:widowControl/>
        <w:spacing w:line="252" w:lineRule="auto" w:before="264" w:after="184"/>
        <w:ind w:left="1798" w:right="240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Corporation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Auditing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1798" w:right="2402" w:firstLine="2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000000"/>
          <w:sz w:val="20"/>
        </w:rPr>
        <w:t>all other transactions of the Corporation.</w:t>
      </w:r>
    </w:p>
    <w:p>
      <w:pPr>
        <w:autoSpaceDN w:val="0"/>
        <w:tabs>
          <w:tab w:pos="1798" w:val="left"/>
          <w:tab w:pos="2018" w:val="left"/>
        </w:tabs>
        <w:autoSpaceDE w:val="0"/>
        <w:widowControl/>
        <w:spacing w:line="252" w:lineRule="auto" w:before="260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Corporation shall be audited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qualified auditor appointed by Auditor General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154 of the Constitution.</w:t>
      </w:r>
    </w:p>
    <w:p>
      <w:pPr>
        <w:autoSpaceDN w:val="0"/>
        <w:tabs>
          <w:tab w:pos="2018" w:val="left"/>
        </w:tabs>
        <w:autoSpaceDE w:val="0"/>
        <w:widowControl/>
        <w:spacing w:line="247" w:lineRule="auto" w:before="264" w:after="20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 being a member of the Institute</w:t>
            </w:r>
          </w:p>
        </w:tc>
      </w:tr>
    </w:tbl>
    <w:p>
      <w:pPr>
        <w:autoSpaceDN w:val="0"/>
        <w:autoSpaceDE w:val="0"/>
        <w:widowControl/>
        <w:spacing w:line="252" w:lineRule="auto" w:before="2" w:after="206"/>
        <w:ind w:left="2498" w:right="24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Lanka,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practice as Accountant issued by the Council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 each of the resident partners,</w:t>
            </w:r>
          </w:p>
        </w:tc>
      </w:tr>
    </w:tbl>
    <w:p>
      <w:pPr>
        <w:autoSpaceDN w:val="0"/>
        <w:autoSpaceDE w:val="0"/>
        <w:widowControl/>
        <w:spacing w:line="264" w:lineRule="auto" w:before="0" w:after="0"/>
        <w:ind w:left="2498" w:right="24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 being a member of the Institute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Chartered Accountants of Sri Lanka or of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 possesses a certificate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practice as Accountant issued by the Council of</w:t>
      </w:r>
    </w:p>
    <w:p>
      <w:pPr>
        <w:autoSpaceDN w:val="0"/>
        <w:tabs>
          <w:tab w:pos="2498" w:val="left"/>
        </w:tabs>
        <w:autoSpaceDE w:val="0"/>
        <w:widowControl/>
        <w:spacing w:line="242" w:lineRule="auto" w:before="34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such 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68" w:val="left"/>
          <w:tab w:pos="3458" w:val="left"/>
        </w:tabs>
        <w:autoSpaceDE w:val="0"/>
        <w:widowControl/>
        <w:spacing w:line="228" w:lineRule="exact" w:before="38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Association of Human Resources Professionals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1942" w:val="left"/>
          <w:tab w:pos="6642" w:val="left"/>
        </w:tabs>
        <w:autoSpaceDE w:val="0"/>
        <w:widowControl/>
        <w:spacing w:line="254" w:lineRule="auto" w:before="268" w:after="0"/>
        <w:ind w:left="1702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10.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Board shall prepare a report of the activities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Corporation for each financial year and submit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Report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34" w:after="0"/>
        <w:ind w:left="141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together with the audited statement of accounts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of the Ministry of the Minister assigned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Social Services and to the Registrar of Voluntary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Organizations appointed under the Voluntary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Organizations (registration and Supervision)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31 of 1980 before the expiration of six months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year succeeding the year to which such report relates.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8" w:after="238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received by the Corporation during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1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debts and liabilities of the Association existing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Corporation hereby constituted, and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Association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debts due to, and subscriptions and contributions payable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23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Association on that day shall be paid to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On the coming into operation of this Act, all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property movable and immovable belonging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Association, whether held in the name of the said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Association, or in the name or names of any persons in trust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18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said Association, shall be and the same are hereby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vested in the Corporation hereby constituted, and the same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together with all property acquired thereafter, both movable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immovable, by way of purchase, grant, gift, testamentary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disposition or otherwise and all subscriptions, contributions, </w:t>
      </w:r>
      <w:r>
        <w:rPr>
          <w:rFonts w:ascii="Times" w:hAnsi="Times" w:eastAsia="Times"/>
          <w:b w:val="0"/>
          <w:i w:val="0"/>
          <w:color w:val="000000"/>
          <w:sz w:val="20"/>
        </w:rPr>
        <w:t>donations received, shall be held by the said Corporation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Corporation will have the power to sell, mortgage,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lease, exchange or otherwise dispose of the same for the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this Act and subject to the rules for the time </w:t>
      </w:r>
      <w:r>
        <w:rPr>
          <w:rFonts w:ascii="Times" w:hAnsi="Times" w:eastAsia="Times"/>
          <w:b w:val="0"/>
          <w:i w:val="0"/>
          <w:color w:val="000000"/>
          <w:sz w:val="20"/>
        </w:rPr>
        <w:t>being in force of the said Corporation.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56" w:val="left"/>
          <w:tab w:pos="6478" w:val="left"/>
        </w:tabs>
        <w:autoSpaceDE w:val="0"/>
        <w:widowControl/>
        <w:spacing w:line="248" w:lineRule="exact" w:before="0" w:after="212"/>
        <w:ind w:left="226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Association of Human Resources Professionals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5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918" w:right="4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moneys and property of the Corporation however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derived shall be applied solely towards the promotion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objects of the Corporation and no portion thereof shall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money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Property</w:t>
            </w:r>
          </w:p>
        </w:tc>
      </w:tr>
    </w:tbl>
    <w:p>
      <w:pPr>
        <w:autoSpaceDN w:val="0"/>
        <w:autoSpaceDE w:val="0"/>
        <w:widowControl/>
        <w:spacing w:line="235" w:lineRule="auto" w:before="22" w:after="2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paid or transferred directly or indirectly by way of dividend,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bonus or profit to the members of the Corporation.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seal of the Corporation shall not be affixed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whatsoever, except in the presence of two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20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Board who shall sign their names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66" w:lineRule="auto" w:before="312" w:after="252"/>
        <w:ind w:left="1798" w:right="24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Corporation shall be in the custody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office bearer of the Board as may be decided by such </w:t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If upon the dissolution of the Corporation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 debts and liabilities,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4" w:lineRule="auto" w:before="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the members of the Corporation, but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any other institution having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to those of the Corporation, and which is by the rules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thereof, prohibited from distributing any income or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among its members.</w:t>
      </w:r>
    </w:p>
    <w:p>
      <w:pPr>
        <w:autoSpaceDN w:val="0"/>
        <w:autoSpaceDE w:val="0"/>
        <w:widowControl/>
        <w:spacing w:line="266" w:lineRule="auto" w:before="314" w:after="16"/>
        <w:ind w:left="1798" w:right="2404" w:firstLine="4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this subsection (1)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determined by the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 immediately before the dissolution at a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 by the majority of votes of the members present.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Nothing in this Act contained shall prejudice or affect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rights of the Republic or of anybody politic or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other persons, except such as are mentioned in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and those claiming by, from, or under them.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6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Association of Human Resources Professionals</w:t>
      </w:r>
    </w:p>
    <w:p>
      <w:pPr>
        <w:autoSpaceDN w:val="0"/>
        <w:autoSpaceDE w:val="0"/>
        <w:widowControl/>
        <w:spacing w:line="235" w:lineRule="auto" w:before="2" w:after="208"/>
        <w:ind w:left="0" w:right="427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4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62" w:right="54" w:firstLine="4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inconsisteney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302"/>
        </w:trPr>
        <w:tc>
          <w:tcPr>
            <w:tcW w:type="dxa" w:w="5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Association of Human Resources Professionals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7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090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