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12, 2024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17.07.2024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4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THE ASSOCIATION OF CRICKET UMPIRES, </w:t>
      </w:r>
      <w:r>
        <w:rPr>
          <w:rFonts w:ascii="Times,Bold" w:hAnsi="Times,Bold" w:eastAsia="Times,Bold"/>
          <w:b/>
          <w:i w:val="0"/>
          <w:color w:val="000000"/>
          <w:sz w:val="24"/>
        </w:rPr>
        <w:t>SRI  LANKA (INCORPORATION)</w:t>
      </w:r>
    </w:p>
    <w:p>
      <w:pPr>
        <w:autoSpaceDN w:val="0"/>
        <w:autoSpaceDE w:val="0"/>
        <w:widowControl/>
        <w:spacing w:line="235" w:lineRule="auto" w:before="136" w:after="0"/>
        <w:ind w:left="0" w:right="34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15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174" w:after="0"/>
        <w:ind w:left="21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Association of Cricket Umpires, Sri Lanka</w:t>
      </w:r>
    </w:p>
    <w:p>
      <w:pPr>
        <w:autoSpaceDN w:val="0"/>
        <w:autoSpaceDE w:val="0"/>
        <w:widowControl/>
        <w:spacing w:line="245" w:lineRule="auto" w:before="392" w:after="0"/>
        <w:ind w:left="2016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Premnath C. Dolawatte,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Attorney-at-Law, M.P. for Colombo District</w:t>
      </w:r>
    </w:p>
    <w:p>
      <w:pPr>
        <w:autoSpaceDN w:val="0"/>
        <w:autoSpaceDE w:val="0"/>
        <w:widowControl/>
        <w:spacing w:line="245" w:lineRule="auto" w:before="31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The Association of Cricket Umpires,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autoSpaceDE w:val="0"/>
        <w:widowControl/>
        <w:spacing w:line="250" w:lineRule="auto" w:before="268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000000"/>
          <w:sz w:val="14"/>
        </w:rPr>
        <w:t>RICKET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U</w:t>
      </w:r>
      <w:r>
        <w:rPr>
          <w:rFonts w:ascii="Times" w:hAnsi="Times" w:eastAsia="Times"/>
          <w:b w:val="0"/>
          <w:i w:val="0"/>
          <w:color w:val="000000"/>
          <w:sz w:val="14"/>
        </w:rPr>
        <w:t>MPIRES</w:t>
      </w:r>
      <w:r>
        <w:rPr>
          <w:rFonts w:ascii="Times" w:hAnsi="Times" w:eastAsia="Times"/>
          <w:b w:val="0"/>
          <w:i w:val="0"/>
          <w:color w:val="000000"/>
          <w:sz w:val="20"/>
        </w:rPr>
        <w:t>, 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tabs>
          <w:tab w:pos="1794" w:val="left"/>
          <w:tab w:pos="6718" w:val="left"/>
        </w:tabs>
        <w:autoSpaceDE w:val="0"/>
        <w:widowControl/>
        <w:spacing w:line="260" w:lineRule="exact" w:before="256" w:after="0"/>
        <w:ind w:left="1526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 an  Association  called  and  known  as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Preamble</w:t>
      </w:r>
      <w:r>
        <w:rPr>
          <w:rFonts w:ascii="Times,BoldItalic" w:hAnsi="Times,BoldItalic" w:eastAsia="Times,BoldItalic"/>
          <w:b/>
          <w:i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000000"/>
          <w:sz w:val="20"/>
        </w:rPr>
        <w:t>The   Association of Cricket Umpires, Sri Lanka</w:t>
      </w:r>
      <w:r>
        <w:rPr>
          <w:rFonts w:ascii="Times,BoldItalic" w:hAnsi="Times,BoldItalic" w:eastAsia="Times,BoldItalic"/>
          <w:b/>
          <w:i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has  heretofore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established for the purpose of effectually  carrying 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Association, according to the rules agreed by it’s members :</w:t>
      </w:r>
    </w:p>
    <w:p>
      <w:pPr>
        <w:autoSpaceDN w:val="0"/>
        <w:autoSpaceDE w:val="0"/>
        <w:widowControl/>
        <w:spacing w:line="262" w:lineRule="auto" w:before="278" w:after="0"/>
        <w:ind w:left="1794" w:right="24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Association has heretofore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transacted, the several objects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000000"/>
          <w:sz w:val="20"/>
        </w:rPr>
        <w:t>be incorporated, and it will be for the public advantage to</w:t>
      </w:r>
    </w:p>
    <w:p>
      <w:pPr>
        <w:autoSpaceDN w:val="0"/>
        <w:tabs>
          <w:tab w:pos="1794" w:val="left"/>
        </w:tabs>
        <w:autoSpaceDE w:val="0"/>
        <w:widowControl/>
        <w:spacing w:line="262" w:lineRule="auto" w:before="32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grant the application :</w:t>
      </w:r>
    </w:p>
    <w:p>
      <w:pPr>
        <w:autoSpaceDN w:val="0"/>
        <w:autoSpaceDE w:val="0"/>
        <w:widowControl/>
        <w:spacing w:line="252" w:lineRule="auto" w:before="266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 :-</w:t>
      </w:r>
    </w:p>
    <w:p>
      <w:pPr>
        <w:autoSpaceDN w:val="0"/>
        <w:tabs>
          <w:tab w:pos="2054" w:val="left"/>
          <w:tab w:pos="6736" w:val="left"/>
        </w:tabs>
        <w:autoSpaceDE w:val="0"/>
        <w:widowControl/>
        <w:spacing w:line="254" w:lineRule="auto" w:before="288" w:after="230"/>
        <w:ind w:left="1794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Association of Cricket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Umpires, Sri Lanka (Incorporation)  Act, No.          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From and after that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and so many persons as now are Members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Association of Cricket Umpires, Sri Lanka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Cricket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“The Association”) or shall hereafter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Umpires,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admitted as members of the Corporation hereby  constituted,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 body corporate (hereinafter referred to as “the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" w:after="16"/>
        <w:ind w:left="1794" w:right="241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Corporation”) with perpetual succession under the name and </w:t>
      </w:r>
      <w:r>
        <w:rPr>
          <w:rFonts w:ascii="Times" w:hAnsi="Times" w:eastAsia="Times"/>
          <w:b w:val="0"/>
          <w:i w:val="0"/>
          <w:color w:val="000000"/>
          <w:sz w:val="20"/>
        </w:rPr>
        <w:t>style of “The Association of Cricket Umpires, Sri Lanka”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by that name may sue, and be sued, in all courts, with </w:t>
      </w:r>
      <w:r>
        <w:rPr>
          <w:rFonts w:ascii="Times" w:hAnsi="Times" w:eastAsia="Times"/>
          <w:b w:val="0"/>
          <w:i w:val="0"/>
          <w:color w:val="000000"/>
          <w:sz w:val="20"/>
        </w:rPr>
        <w:t>full power and authority to have, and to use, a common seal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alter the same at its pleasure.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general objects for which The Corporation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are hereby declared to be -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Corporation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56" w:val="left"/>
          <w:tab w:pos="3162" w:val="left"/>
        </w:tabs>
        <w:autoSpaceDE w:val="0"/>
        <w:widowControl/>
        <w:spacing w:line="240" w:lineRule="exact" w:before="26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Association of Cricket Umpires,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tabs>
          <w:tab w:pos="2422" w:val="left"/>
        </w:tabs>
        <w:autoSpaceDE w:val="0"/>
        <w:widowControl/>
        <w:spacing w:line="271" w:lineRule="auto" w:before="260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protect and promote the interests, status, welfare,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and privileges of the profession of Cricket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Umpires and the persons desiring to qualify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Cricket Umpires;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organize, supervise and control the admission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professional training of persons desiring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qualify as, and the grading of, Cricket Umpires;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14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improve the standard of cricket umpiring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 by conducting on-going training courses;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regulate the general conduct and the professional</w:t>
            </w:r>
          </w:p>
        </w:tc>
      </w:tr>
    </w:tbl>
    <w:p>
      <w:pPr>
        <w:autoSpaceDN w:val="0"/>
        <w:autoSpaceDE w:val="0"/>
        <w:widowControl/>
        <w:spacing w:line="266" w:lineRule="auto" w:before="22" w:after="254"/>
        <w:ind w:left="242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of persons practicing as Cricket Umpires,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ensure the maintenance  of 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standards in the 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liase with the Ministry of Sports and Sri Lanka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Cricket and with Organizations outside Sri Lanka,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allied interests and functions, to which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Corporation is affiliated;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12" w:after="254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assess the eligibility of persons for admission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various grades of membership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such other measures, including the</w:t>
            </w:r>
          </w:p>
        </w:tc>
      </w:tr>
    </w:tbl>
    <w:p>
      <w:pPr>
        <w:autoSpaceDN w:val="0"/>
        <w:autoSpaceDE w:val="0"/>
        <w:widowControl/>
        <w:spacing w:line="266" w:lineRule="auto" w:before="16" w:after="252"/>
        <w:ind w:left="2422" w:right="25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and maintenance of data banks,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necessary for the benefit and advancement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members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Subject to the provisions of sub-section (2)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adminstration, management and control of the affairs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shall, subject to the rules of the Corporation,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vested in an Executive Committee (hereinafter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“The Committee”) consisting of a President, Vice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62" w:val="left"/>
          <w:tab w:pos="6478" w:val="left"/>
        </w:tabs>
        <w:autoSpaceDE w:val="0"/>
        <w:widowControl/>
        <w:spacing w:line="254" w:lineRule="exact" w:before="0" w:after="0"/>
        <w:ind w:left="285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Association of Cricket Umpires,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tabs>
          <w:tab w:pos="1798" w:val="left"/>
        </w:tabs>
        <w:autoSpaceDE w:val="0"/>
        <w:widowControl/>
        <w:spacing w:line="266" w:lineRule="auto" w:before="256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Presidents, General Secretary, Treasurer,  Match Assigning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Secretary, Assistant Secretary, Assistant Treasurer, Assistant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Match Assigning Secretary, Public Relations Officer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Members elected or nominated in accordance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the rules of the Corporation.</w:t>
      </w:r>
    </w:p>
    <w:p>
      <w:pPr>
        <w:autoSpaceDN w:val="0"/>
        <w:autoSpaceDE w:val="0"/>
        <w:widowControl/>
        <w:spacing w:line="264" w:lineRule="auto" w:before="296" w:after="236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first Committee of the Corporation shall consist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members of the Executive Committee of the Foundation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office on the day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and any 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Committee shall, in the name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1798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Corporation, have the power to all such acts and things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necessary for, or incidental or conductive to, the carrying </w:t>
      </w:r>
      <w:r>
        <w:rPr>
          <w:rFonts w:ascii="Times" w:hAnsi="Times" w:eastAsia="Times"/>
          <w:b w:val="0"/>
          <w:i w:val="0"/>
          <w:color w:val="000000"/>
          <w:sz w:val="20"/>
        </w:rPr>
        <w:t>out, or the attainment of, the objects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6" w:after="0"/>
        <w:ind w:left="14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generally of the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conferred by sub-section (1), the Committee may exercise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discharge the following powers and functions :-</w:t>
      </w:r>
    </w:p>
    <w:p>
      <w:pPr>
        <w:autoSpaceDN w:val="0"/>
        <w:tabs>
          <w:tab w:pos="2236" w:val="left"/>
          <w:tab w:pos="2638" w:val="left"/>
        </w:tabs>
        <w:autoSpaceDE w:val="0"/>
        <w:widowControl/>
        <w:spacing w:line="266" w:lineRule="auto" w:before="296" w:after="23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acquire, hold, take or give on lease or hire,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mortgage, pledge, sell or exchange, or otherwise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alienate, encumber or dispose of, any movable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immovable property for the purposes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enter into and perform whether directly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Officer or agent authorized in that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by the Corporation, all such contracts or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agreements as may be necessary for the  attainment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objects or the powers of the Corporation;</w:t>
      </w:r>
    </w:p>
    <w:p>
      <w:pPr>
        <w:autoSpaceDN w:val="0"/>
        <w:tabs>
          <w:tab w:pos="2236" w:val="left"/>
          <w:tab w:pos="263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open, operate and close Bank Accounts and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 its monies in such securities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Committee;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56" w:val="left"/>
          <w:tab w:pos="3162" w:val="left"/>
        </w:tabs>
        <w:autoSpaceDE w:val="0"/>
        <w:widowControl/>
        <w:spacing w:line="240" w:lineRule="exact" w:before="26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Association of Cricket Umpires,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tabs>
          <w:tab w:pos="2542" w:val="left"/>
        </w:tabs>
        <w:autoSpaceDE w:val="0"/>
        <w:widowControl/>
        <w:spacing w:line="276" w:lineRule="auto" w:before="266" w:after="266"/>
        <w:ind w:left="2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advance, or lend, and to borrow money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the Corporation in such manner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security as the Committee may think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levy fees, subscriptions  and contributions in</w:t>
            </w:r>
          </w:p>
        </w:tc>
      </w:tr>
    </w:tbl>
    <w:p>
      <w:pPr>
        <w:autoSpaceDN w:val="0"/>
        <w:autoSpaceDE w:val="0"/>
        <w:widowControl/>
        <w:spacing w:line="271" w:lineRule="auto" w:before="20" w:after="266"/>
        <w:ind w:left="254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membership, admission to membership,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renewal of membership and courses, conducted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prescribe the terms and conditions of, and to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the regulate the engagement, training and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dismissal of, persons desiring to qualify as Cricket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Umpires;</w:t>
      </w:r>
    </w:p>
    <w:p>
      <w:pPr>
        <w:autoSpaceDN w:val="0"/>
        <w:tabs>
          <w:tab w:pos="2142" w:val="left"/>
          <w:tab w:pos="2542" w:val="left"/>
        </w:tabs>
        <w:autoSpaceDE w:val="0"/>
        <w:widowControl/>
        <w:spacing w:line="276" w:lineRule="auto" w:before="326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transfer, dismiss and exercise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control over, the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of The Corporation and to pay their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salaries, gratuities and allowances;</w:t>
      </w:r>
    </w:p>
    <w:p>
      <w:pPr>
        <w:autoSpaceDN w:val="0"/>
        <w:tabs>
          <w:tab w:pos="2542" w:val="left"/>
        </w:tabs>
        <w:autoSpaceDE w:val="0"/>
        <w:widowControl/>
        <w:spacing w:line="271" w:lineRule="auto" w:before="326" w:after="250"/>
        <w:ind w:left="2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construct, purchase, maintain and repair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anything required for the purposes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Corporation; 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take all such steps as may be necessary or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desirable for the promotion of all or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It  shall be lawful for the Corporation from time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 Annual General Meeting or a Special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and by a majority of not less than two-thirds of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4" w:after="0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 and voting  to  make,  with  the  approval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 Committee,  rules not inconsistent with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this Act or any other written law in respect of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62" w:val="left"/>
          <w:tab w:pos="6478" w:val="left"/>
        </w:tabs>
        <w:autoSpaceDE w:val="0"/>
        <w:widowControl/>
        <w:spacing w:line="254" w:lineRule="exact" w:before="0" w:after="0"/>
        <w:ind w:left="285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Association of Cricket Umpires,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tabs>
          <w:tab w:pos="2636" w:val="left"/>
        </w:tabs>
        <w:autoSpaceDE w:val="0"/>
        <w:widowControl/>
        <w:spacing w:line="250" w:lineRule="auto" w:before="244" w:after="206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of Office of the Office Bearers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Committee, the eligibility for and the mode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election, appointment of sub-committees;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3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functions and duties of the Office -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Bearers of the Committee and any allowances or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6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fees payable to them;</w:t>
      </w:r>
    </w:p>
    <w:p>
      <w:pPr>
        <w:autoSpaceDN w:val="0"/>
        <w:tabs>
          <w:tab w:pos="2236" w:val="left"/>
          <w:tab w:pos="263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establishment and regulation of a provident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for the benefit of the Officers and Servants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contribution to be made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 and  such Officers and Servants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fund;</w:t>
      </w:r>
    </w:p>
    <w:p>
      <w:pPr>
        <w:autoSpaceDN w:val="0"/>
        <w:tabs>
          <w:tab w:pos="2636" w:val="left"/>
        </w:tabs>
        <w:autoSpaceDE w:val="0"/>
        <w:widowControl/>
        <w:spacing w:line="247" w:lineRule="auto" w:before="266" w:after="204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rights, powers, functions and duties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Officers, Servants and Agents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summoning and holding Annual General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Meetings and Special General Meetings of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members of  the Corporation;</w:t>
      </w:r>
    </w:p>
    <w:p>
      <w:pPr>
        <w:autoSpaceDN w:val="0"/>
        <w:tabs>
          <w:tab w:pos="2636" w:val="left"/>
        </w:tabs>
        <w:autoSpaceDE w:val="0"/>
        <w:widowControl/>
        <w:spacing w:line="247" w:lineRule="auto" w:before="264" w:after="206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management of the property of the Corporation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the custody of its funds;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formulation of a Code of Professional Conduct;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of disciplinary inquiries.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204"/>
        <w:ind w:left="1796" w:right="2402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 to or rescinded at a like 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sub-section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6" w:right="1152" w:firstLine="4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rules of the Association in force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 the date of commencement of this Act, shall, in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1796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 far as they are not inconsistent with the provisions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any other written law, be deemed to be rules made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section.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56" w:val="left"/>
          <w:tab w:pos="3162" w:val="left"/>
        </w:tabs>
        <w:autoSpaceDE w:val="0"/>
        <w:widowControl/>
        <w:spacing w:line="240" w:lineRule="exact" w:before="26" w:after="0"/>
        <w:ind w:left="1702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Association of Cricket Umpires,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tabs>
          <w:tab w:pos="2142" w:val="left"/>
        </w:tabs>
        <w:autoSpaceDE w:val="0"/>
        <w:widowControl/>
        <w:spacing w:line="266" w:lineRule="auto" w:before="270" w:after="28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members of the Corporation shall be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the existing 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Seal of the Corporation shall be in the custody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Honorary General Secretary and may be altered in such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 as may be determined by the Executive Committee.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86" w:lineRule="auto" w:before="28" w:after="28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Seal shall not be affixed to any instrument whatsoever,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with the sanction of the Executive Committee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presence of two members of the Executive Committee,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of whom shall sign the instrument in token of their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presence. Such signing shall be independent of the signing </w:t>
      </w:r>
      <w:r>
        <w:rPr>
          <w:rFonts w:ascii="Times" w:hAnsi="Times" w:eastAsia="Times"/>
          <w:b w:val="0"/>
          <w:i w:val="0"/>
          <w:color w:val="000000"/>
          <w:sz w:val="20"/>
        </w:rPr>
        <w:t>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862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Corporation shall have its own fund and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Monies and heretofore or hereafter received by way of gift,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81" w:lineRule="auto" w:before="2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bequest, donation, subscription, contribution, fees or grants,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on  account of the Corporation, shall be deposited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credit of the Corporation in one or more banks as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Committee shall  determine.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1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may create any depreciation fund,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 or sinking fund for the rehabilitation, improvement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and development, of the property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33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money, as may be required to defray any expenditure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the Corporation in its exercise, performance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 discharge of its powers, duties and functions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Act.</w:t>
      </w:r>
    </w:p>
    <w:p>
      <w:pPr>
        <w:autoSpaceDN w:val="0"/>
        <w:autoSpaceDE w:val="0"/>
        <w:widowControl/>
        <w:spacing w:line="276" w:lineRule="auto" w:before="342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monies and the property of the Corporation,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applied solely towards the promotion of the objects set </w:t>
      </w:r>
      <w:r>
        <w:rPr>
          <w:rFonts w:ascii="Times" w:hAnsi="Times" w:eastAsia="Times"/>
          <w:b w:val="0"/>
          <w:i w:val="0"/>
          <w:color w:val="000000"/>
          <w:sz w:val="20"/>
        </w:rPr>
        <w:t>forth herein and no portion thereof shall be paid or transferred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62" w:val="left"/>
          <w:tab w:pos="6478" w:val="left"/>
        </w:tabs>
        <w:autoSpaceDE w:val="0"/>
        <w:widowControl/>
        <w:spacing w:line="254" w:lineRule="exact" w:before="0" w:after="0"/>
        <w:ind w:left="2856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The Association of Cricket Umpires,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autoSpaceDE w:val="0"/>
        <w:widowControl/>
        <w:spacing w:line="266" w:lineRule="auto" w:before="270" w:after="28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directly or indirectly, by way of dividends, bonus or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otherwise, howsoever to the members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Treasurer shall under the supervision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Committee, cause proper books of  accounts  to  be  kept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Income and Expenditure of the Corporation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80" w:after="28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accounts of the Corporation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examined and audited at least once in every year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correctness of the Income and Expenditure Account and the </w:t>
      </w:r>
      <w:r>
        <w:rPr>
          <w:rFonts w:ascii="Times" w:hAnsi="Times" w:eastAsia="Times"/>
          <w:b w:val="0"/>
          <w:i w:val="0"/>
          <w:color w:val="000000"/>
          <w:sz w:val="20"/>
        </w:rPr>
        <w:t>Balance Sheet certified by the Auditors appointed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All debts and liabilities of  the Association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on the day, proceeding the date of  commencement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shall be paid by the Corporation hereby constituted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Association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2" w:after="278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all debts due to, and subscriptions and contributions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to the Association on that day shall be paid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If, at an Annual General Meeting or a Special General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Meeting, where 75% (3/4) of the Members, present at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meeting, vote in favour of dissolving the Association, there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1" w:lineRule="auto" w:before="24" w:after="0"/>
        <w:ind w:left="1798" w:right="24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property whatsoever, such property shall  not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either Sri  Lanka Cricket or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Ministry of Sports and which is or are, by the  rules thereof</w:t>
      </w:r>
    </w:p>
    <w:p>
      <w:pPr>
        <w:autoSpaceDN w:val="0"/>
        <w:tabs>
          <w:tab w:pos="1798" w:val="left"/>
        </w:tabs>
        <w:autoSpaceDE w:val="0"/>
        <w:widowControl/>
        <w:spacing w:line="283" w:lineRule="auto" w:before="5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Members. Such transfer to either, Sri Lanka Cricket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Sports, shall be determined by the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 at or immediately before the time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5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The Association of Cricket Umpires,</w:t>
      </w:r>
    </w:p>
    <w:p>
      <w:pPr>
        <w:autoSpaceDN w:val="0"/>
        <w:autoSpaceDE w:val="0"/>
        <w:widowControl/>
        <w:spacing w:line="235" w:lineRule="auto" w:before="14" w:after="196"/>
        <w:ind w:left="0" w:right="371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Nothing in this Act contained shall prejudice or affects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rights of the Republic or of any body politic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corporate, or of any other persons, except such as are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or those claimed by, from, or under,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Sinhala, Tamil and English texts of this Act, the Sinhala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inconsisteney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The Association of Cricket Umpires,</w:t>
            </w:r>
          </w:p>
        </w:tc>
        <w:tc>
          <w:tcPr>
            <w:tcW w:type="dxa" w:w="1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3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Sri Lanka (Incorporation)</w:t>
      </w:r>
    </w:p>
    <w:p>
      <w:pPr>
        <w:autoSpaceDN w:val="0"/>
        <w:autoSpaceDE w:val="0"/>
        <w:widowControl/>
        <w:spacing w:line="238" w:lineRule="auto" w:before="9078" w:after="0"/>
        <w:ind w:left="0" w:right="31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