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3634" w:val="left"/>
        </w:tabs>
        <w:autoSpaceDE w:val="0"/>
        <w:widowControl/>
        <w:spacing w:line="245" w:lineRule="auto" w:before="304" w:after="0"/>
        <w:ind w:left="1760" w:right="144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ANTI-DUMPING AND COUNTERVAILING DUTIES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3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Anti-Dumping and Countervailing Duties Act, No. 2 of 2018</w:t>
      </w:r>
    </w:p>
    <w:p>
      <w:pPr>
        <w:autoSpaceDN w:val="0"/>
        <w:autoSpaceDE w:val="0"/>
        <w:widowControl/>
        <w:spacing w:line="235" w:lineRule="auto" w:before="21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Finance,Economic Stabilization and</w:t>
      </w:r>
    </w:p>
    <w:p>
      <w:pPr>
        <w:autoSpaceDN w:val="0"/>
        <w:autoSpaceDE w:val="0"/>
        <w:widowControl/>
        <w:spacing w:line="238" w:lineRule="auto" w:before="4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23rd of July, 2024</w:t>
      </w:r>
    </w:p>
    <w:p>
      <w:pPr>
        <w:autoSpaceDN w:val="0"/>
        <w:autoSpaceDE w:val="0"/>
        <w:widowControl/>
        <w:spacing w:line="238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29,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1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274]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0" w:lineRule="auto" w:before="212" w:after="0"/>
        <w:ind w:left="1334" w:right="1446" w:firstLine="262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Anti-Dumping and Countervailing Duties Act, No. 2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2018 (hereinafter referred to as the “principal enactment”) and the legal effect of this </w:t>
      </w:r>
      <w:r>
        <w:rPr>
          <w:rFonts w:ascii="Times" w:hAnsi="Times" w:eastAsia="Times"/>
          <w:b w:val="0"/>
          <w:i w:val="0"/>
          <w:color w:val="221F1F"/>
          <w:sz w:val="16"/>
        </w:rPr>
        <w:t>amendment is to make provisions for the powers, duties and functions of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“Director-General of Commerce” and “Department of Commerce” under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to be exercised, performed and discharged by the “Secretary to the Ministry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assigned the subject of International Trade” and the “Office for International </w:t>
      </w:r>
      <w:r>
        <w:rPr>
          <w:rFonts w:ascii="Times" w:hAnsi="Times" w:eastAsia="Times"/>
          <w:b w:val="0"/>
          <w:i w:val="0"/>
          <w:color w:val="221F1F"/>
          <w:sz w:val="16"/>
        </w:rPr>
        <w:t>Trade”, respectively.</w:t>
      </w:r>
    </w:p>
    <w:p>
      <w:pPr>
        <w:autoSpaceDN w:val="0"/>
        <w:tabs>
          <w:tab w:pos="1596" w:val="left"/>
        </w:tabs>
        <w:autoSpaceDE w:val="0"/>
        <w:widowControl/>
        <w:spacing w:line="245" w:lineRule="auto" w:before="202" w:after="0"/>
        <w:ind w:left="1334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85 of the principal enactment and this amendment </w:t>
      </w:r>
      <w:r>
        <w:rPr>
          <w:rFonts w:ascii="Times" w:hAnsi="Times" w:eastAsia="Times"/>
          <w:b w:val="0"/>
          <w:i w:val="0"/>
          <w:color w:val="221F1F"/>
          <w:sz w:val="16"/>
        </w:rPr>
        <w:t>is consequential 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Anti-Dumping and Countervailing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45/2024</w:t>
      </w:r>
    </w:p>
    <w:p>
      <w:pPr>
        <w:autoSpaceDN w:val="0"/>
        <w:tabs>
          <w:tab w:pos="2606" w:val="left"/>
          <w:tab w:pos="3254" w:val="left"/>
        </w:tabs>
        <w:autoSpaceDE w:val="0"/>
        <w:widowControl/>
        <w:spacing w:line="252" w:lineRule="auto" w:before="29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-D</w:t>
      </w:r>
      <w:r>
        <w:rPr>
          <w:rFonts w:ascii="Times" w:hAnsi="Times" w:eastAsia="Times"/>
          <w:b w:val="0"/>
          <w:i w:val="0"/>
          <w:color w:val="221F1F"/>
          <w:sz w:val="14"/>
        </w:rPr>
        <w:t>UMPING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OUNTERVAILING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54" w:lineRule="auto" w:before="288" w:after="2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Anti-Dumping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05"/>
        </w:trPr>
        <w:tc>
          <w:tcPr>
            <w:tcW w:type="dxa" w:w="2255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Countervailing Duties (Amendment) Act, No.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2024.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Anti-Dumping and Countervailing Duties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 of 2018 (hereinafter referred to as the “principal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“Director-General” and “Department” wherever those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occur in the principal enactment,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“Secretary” and “OIT” respectively.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228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There shall be substituted for the words “Director-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of Commerce” and “Department of Commerce”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those words occur in any notice, notification,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 issued or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principal enactment, of the words “Secretary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Ministry 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Trade” and “Office for International Trade”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85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“Department” and “Director-General”;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62" w:lineRule="auto" w:before="32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“Minister” and the substitution therefor of the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28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Anti-Dumping and Countervailing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tabs>
          <w:tab w:pos="3022" w:val="left"/>
        </w:tabs>
        <w:autoSpaceDE w:val="0"/>
        <w:widowControl/>
        <w:spacing w:line="262" w:lineRule="auto" w:before="278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International Trade;”;</w:t>
      </w:r>
    </w:p>
    <w:p>
      <w:pPr>
        <w:autoSpaceDN w:val="0"/>
        <w:tabs>
          <w:tab w:pos="2038" w:val="left"/>
          <w:tab w:pos="2442" w:val="left"/>
          <w:tab w:pos="2464" w:val="left"/>
        </w:tabs>
        <w:autoSpaceDE w:val="0"/>
        <w:widowControl/>
        <w:spacing w:line="266" w:lineRule="auto" w:before="29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of new definition of expression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after the definition of the expression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“non-actionable subsidy”, of the following: -</w:t>
      </w:r>
    </w:p>
    <w:p>
      <w:pPr>
        <w:autoSpaceDN w:val="0"/>
        <w:tabs>
          <w:tab w:pos="3024" w:val="left"/>
          <w:tab w:pos="6296" w:val="left"/>
        </w:tabs>
        <w:autoSpaceDE w:val="0"/>
        <w:widowControl/>
        <w:spacing w:line="264" w:lineRule="auto" w:before="276" w:after="218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““OIT” 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for International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99 of the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Transformation Act, No.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2024;”;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of the following new definition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immediately after the definition of the expression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“provisional measures”:-</w:t>
      </w:r>
    </w:p>
    <w:p>
      <w:pPr>
        <w:autoSpaceDN w:val="0"/>
        <w:autoSpaceDE w:val="0"/>
        <w:widowControl/>
        <w:spacing w:line="254" w:lineRule="auto" w:before="294" w:after="14"/>
        <w:ind w:left="302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““Secretary” means the Secretary to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the subject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74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Anti-Dumping and Countervailing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14" w:after="0"/>
        <w:ind w:left="0" w:right="40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Duties (Amendment)</w:t>
      </w:r>
    </w:p>
    <w:p>
      <w:pPr>
        <w:autoSpaceDN w:val="0"/>
        <w:autoSpaceDE w:val="0"/>
        <w:widowControl/>
        <w:spacing w:line="235" w:lineRule="auto" w:before="913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