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PENAL CODE (AMENDMENT)</w:t>
      </w:r>
    </w:p>
    <w:p>
      <w:pPr>
        <w:autoSpaceDN w:val="0"/>
        <w:autoSpaceDE w:val="0"/>
        <w:widowControl/>
        <w:spacing w:line="238" w:lineRule="auto" w:before="35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Penal Code (Chapter 19)</w:t>
      </w:r>
    </w:p>
    <w:p>
      <w:pPr>
        <w:autoSpaceDN w:val="0"/>
        <w:autoSpaceDE w:val="0"/>
        <w:widowControl/>
        <w:spacing w:line="235" w:lineRule="auto" w:before="23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220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23rd of July, 2024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04, 2024)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2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276]</w:t>
      </w:r>
    </w:p>
    <w:p>
      <w:pPr>
        <w:autoSpaceDN w:val="0"/>
        <w:autoSpaceDE w:val="0"/>
        <w:widowControl/>
        <w:spacing w:line="245" w:lineRule="auto" w:before="124" w:after="214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332" w:after="0"/>
        <w:ind w:left="143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345 of the Penal Code (Chapter 19)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amendment is to–</w:t>
      </w:r>
    </w:p>
    <w:p>
      <w:pPr>
        <w:autoSpaceDN w:val="0"/>
        <w:tabs>
          <w:tab w:pos="2150" w:val="left"/>
          <w:tab w:pos="2168" w:val="left"/>
        </w:tabs>
        <w:autoSpaceDE w:val="0"/>
        <w:widowControl/>
        <w:spacing w:line="245" w:lineRule="auto" w:before="202" w:after="0"/>
        <w:ind w:left="17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extend the application of that section to a sexual harassment caused by means of </w:t>
      </w:r>
      <w:r>
        <w:rPr>
          <w:rFonts w:ascii="Times" w:hAnsi="Times" w:eastAsia="Times"/>
          <w:b w:val="0"/>
          <w:i w:val="0"/>
          <w:color w:val="221F1F"/>
          <w:sz w:val="16"/>
        </w:rPr>
        <w:t>any communication;</w:t>
      </w:r>
    </w:p>
    <w:p>
      <w:pPr>
        <w:autoSpaceDN w:val="0"/>
        <w:tabs>
          <w:tab w:pos="2150" w:val="left"/>
          <w:tab w:pos="2168" w:val="left"/>
        </w:tabs>
        <w:autoSpaceDE w:val="0"/>
        <w:widowControl/>
        <w:spacing w:line="245" w:lineRule="auto" w:before="202" w:after="0"/>
        <w:ind w:left="17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define the series of activities by which the sexual harassment may cause by </w:t>
      </w:r>
      <w:r>
        <w:rPr>
          <w:rFonts w:ascii="Times" w:hAnsi="Times" w:eastAsia="Times"/>
          <w:b w:val="0"/>
          <w:i w:val="0"/>
          <w:color w:val="221F1F"/>
          <w:sz w:val="16"/>
        </w:rPr>
        <w:t>using words or actions; and</w:t>
      </w:r>
    </w:p>
    <w:p>
      <w:pPr>
        <w:autoSpaceDN w:val="0"/>
        <w:tabs>
          <w:tab w:pos="2168" w:val="left"/>
        </w:tabs>
        <w:autoSpaceDE w:val="0"/>
        <w:widowControl/>
        <w:spacing w:line="238" w:lineRule="auto" w:before="202" w:after="0"/>
        <w:ind w:left="17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>define the expression “communication”.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L.D.—O 55/2022</w:t>
      </w:r>
    </w:p>
    <w:p>
      <w:pPr>
        <w:autoSpaceDN w:val="0"/>
        <w:autoSpaceDE w:val="0"/>
        <w:widowControl/>
        <w:spacing w:line="238" w:lineRule="auto" w:before="276" w:after="0"/>
        <w:ind w:left="0" w:right="29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 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19 )</w:t>
      </w:r>
    </w:p>
    <w:p>
      <w:pPr>
        <w:autoSpaceDN w:val="0"/>
        <w:autoSpaceDE w:val="0"/>
        <w:widowControl/>
        <w:spacing w:line="250" w:lineRule="auto" w:before="27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it enacted by the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of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6" w:val="left"/>
          <w:tab w:pos="6736" w:val="left"/>
        </w:tabs>
        <w:autoSpaceDE w:val="0"/>
        <w:widowControl/>
        <w:spacing w:line="250" w:lineRule="auto" w:before="276" w:after="216"/>
        <w:ind w:left="179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rPr>
          <w:rFonts w:ascii="Times" w:hAnsi="Times" w:eastAsia="Times"/>
          <w:b w:val="0"/>
          <w:i w:val="0"/>
          <w:color w:val="221F1F"/>
          <w:sz w:val="20"/>
        </w:rPr>
        <w:t>Act, No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345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Penal Code (Chapter 19)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345 of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“Sexual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345. (1) Whoever, by assault or use of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19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harassment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criminal force, or by the use of words or actions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876" w:val="left"/>
        </w:tabs>
        <w:autoSpaceDE w:val="0"/>
        <w:widowControl/>
        <w:spacing w:line="259" w:lineRule="auto" w:before="12" w:after="12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by means of any communication, causes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sexual annoyance or harassment to another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commits the offence of sexual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harassment and shall on conviction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punished with imprisonment of either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description for a term which may extend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five years or with fine or with both and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also be ordered to pay compensation of an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determined by court to the person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whom the offence was committed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the injuries caused to such person.</w:t>
      </w:r>
    </w:p>
    <w:p>
      <w:pPr>
        <w:autoSpaceDN w:val="0"/>
        <w:tabs>
          <w:tab w:pos="2876" w:val="left"/>
          <w:tab w:pos="3356" w:val="left"/>
        </w:tabs>
        <w:autoSpaceDE w:val="0"/>
        <w:widowControl/>
        <w:spacing w:line="254" w:lineRule="auto" w:before="276" w:after="216"/>
        <w:ind w:left="14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“use of words or actions”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subsection (1) which amount to sexual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harassment includes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0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any sound or gesture;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exhibiting any object;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disrobing or compelling such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4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 to be naked;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p>
      <w:pPr>
        <w:autoSpaceDN w:val="0"/>
        <w:tabs>
          <w:tab w:pos="3882" w:val="left"/>
          <w:tab w:pos="3904" w:val="left"/>
        </w:tabs>
        <w:autoSpaceDE w:val="0"/>
        <w:widowControl/>
        <w:spacing w:line="254" w:lineRule="auto" w:before="508" w:after="216"/>
        <w:ind w:left="3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physical contact and advances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involving unwelcome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explicit sexual overtures;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9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demanding or requesting for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sexual favours;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showing pornography against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2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will of such person;</w:t>
      </w:r>
    </w:p>
    <w:p>
      <w:pPr>
        <w:autoSpaceDN w:val="0"/>
        <w:tabs>
          <w:tab w:pos="3882" w:val="left"/>
          <w:tab w:pos="3904" w:val="left"/>
        </w:tabs>
        <w:autoSpaceDE w:val="0"/>
        <w:widowControl/>
        <w:spacing w:line="250" w:lineRule="auto" w:before="276" w:after="216"/>
        <w:ind w:left="3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sexually coloured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remarks;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9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exposing genitals with the</w:t>
            </w:r>
          </w:p>
        </w:tc>
      </w:tr>
    </w:tbl>
    <w:p>
      <w:pPr>
        <w:autoSpaceDN w:val="0"/>
        <w:autoSpaceDE w:val="0"/>
        <w:widowControl/>
        <w:spacing w:line="250" w:lineRule="auto" w:before="4" w:after="0"/>
        <w:ind w:left="38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intention of causing alarm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distress.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59" w:lineRule="auto" w:before="276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“communication”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which amount to sexual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harassment includes transmitting, distributing,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sharing, generating, propagating or publishing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sexually explicit message, remark, image,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audio or video through electronic means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internet.</w:t>
      </w:r>
    </w:p>
    <w:p>
      <w:pPr>
        <w:autoSpaceDN w:val="0"/>
        <w:tabs>
          <w:tab w:pos="2802" w:val="left"/>
          <w:tab w:pos="3042" w:val="left"/>
        </w:tabs>
        <w:autoSpaceDE w:val="0"/>
        <w:widowControl/>
        <w:spacing w:line="257" w:lineRule="auto" w:before="276" w:after="0"/>
        <w:ind w:left="137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purposes of this section,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assault may include any act that does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to rape under section 363 or grave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sexual abuse under section 365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8" w:lineRule="auto" w:before="276" w:after="4"/>
        <w:ind w:left="0" w:right="249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Explanation – </w:t>
      </w:r>
      <w:r>
        <w:rPr>
          <w:rFonts w:ascii="Times" w:hAnsi="Times" w:eastAsia="Times"/>
          <w:b w:val="0"/>
          <w:i w:val="0"/>
          <w:color w:val="221F1F"/>
          <w:sz w:val="20"/>
        </w:rPr>
        <w:t>“injuries” includes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psychological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mental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trauma.”.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666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2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32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412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92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968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PENAL CODE (AMENDMENT)</w:t>
      </w:r>
    </w:p>
    <w:p>
      <w:pPr>
        <w:autoSpaceDN w:val="0"/>
        <w:autoSpaceDE w:val="0"/>
        <w:widowControl/>
        <w:spacing w:line="238" w:lineRule="auto" w:before="35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Penal Code (Chapter 19)</w:t>
      </w:r>
    </w:p>
    <w:p>
      <w:pPr>
        <w:autoSpaceDN w:val="0"/>
        <w:autoSpaceDE w:val="0"/>
        <w:widowControl/>
        <w:spacing w:line="235" w:lineRule="auto" w:before="23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220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23rd of July, 2024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04, 2024)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20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276]</w:t>
      </w:r>
    </w:p>
    <w:p>
      <w:pPr>
        <w:autoSpaceDN w:val="0"/>
        <w:autoSpaceDE w:val="0"/>
        <w:widowControl/>
        <w:spacing w:line="245" w:lineRule="auto" w:before="124" w:after="214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sectPr w:rsidR="00FC693F" w:rsidRPr="0006063C" w:rsidSect="00034616">
      <w:pgSz w:w="11900" w:h="16840"/>
      <w:pgMar w:top="828" w:right="1440" w:bottom="1390" w:left="13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