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224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SAFEGUARD MEASURES (AMENDMENT)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1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Safeguard Measures Act, No. 3 of 2018</w:t>
      </w:r>
    </w:p>
    <w:p>
      <w:pPr>
        <w:autoSpaceDN w:val="0"/>
        <w:autoSpaceDE w:val="0"/>
        <w:widowControl/>
        <w:spacing w:line="235" w:lineRule="auto" w:before="28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6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Finance, Economic Stabilization and</w:t>
      </w:r>
    </w:p>
    <w:p>
      <w:pPr>
        <w:autoSpaceDN w:val="0"/>
        <w:autoSpaceDE w:val="0"/>
        <w:widowControl/>
        <w:spacing w:line="238" w:lineRule="auto" w:before="4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National Policies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23rd of July, 2024</w:t>
      </w:r>
    </w:p>
    <w:p>
      <w:pPr>
        <w:autoSpaceDN w:val="0"/>
        <w:autoSpaceDE w:val="0"/>
        <w:widowControl/>
        <w:spacing w:line="238" w:lineRule="auto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May 29,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6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275]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6.00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84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744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136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2" w:after="0"/>
        <w:ind w:left="1420" w:right="1360" w:firstLine="25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 of the Safeguard Measures Act, No. 3 of 2018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this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amended is to make provisions for the powers, duties and functions of the “Director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General of Commerce” under the principal enactment to be exercised, performed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discharged by the “Secretary to the Ministry of the Minister assigned the subject of </w:t>
      </w:r>
      <w:r>
        <w:rPr>
          <w:rFonts w:ascii="Times" w:hAnsi="Times" w:eastAsia="Times"/>
          <w:b w:val="0"/>
          <w:i w:val="0"/>
          <w:color w:val="221F1F"/>
          <w:sz w:val="16"/>
        </w:rPr>
        <w:t>International Trade”.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2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principal enactment and this amendment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by clause 2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Safeguard Measures (Amendment)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46/2024</w:t>
      </w:r>
    </w:p>
    <w:p>
      <w:pPr>
        <w:autoSpaceDN w:val="0"/>
        <w:autoSpaceDE w:val="0"/>
        <w:widowControl/>
        <w:spacing w:line="250" w:lineRule="auto" w:before="280" w:after="0"/>
        <w:ind w:left="2448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AFEGUARD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EASURES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2018</w:t>
      </w:r>
    </w:p>
    <w:p>
      <w:pPr>
        <w:autoSpaceDN w:val="0"/>
        <w:autoSpaceDE w:val="0"/>
        <w:widowControl/>
        <w:spacing w:line="238" w:lineRule="auto" w:before="28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38" w:lineRule="auto" w:before="34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4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Safeguard Measures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(Amendment) Act, No. 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2024.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2 of the Safeguard Measures Act, No. 3 of 2018,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 3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2018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words “the Director General of Commerce (hereinafter</w:t>
      </w:r>
    </w:p>
    <w:p>
      <w:pPr>
        <w:autoSpaceDN w:val="0"/>
        <w:autoSpaceDE w:val="0"/>
        <w:widowControl/>
        <w:spacing w:line="235" w:lineRule="auto" w:before="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as the “Director General”)”, of the words “Secretary</w:t>
      </w:r>
    </w:p>
    <w:p>
      <w:pPr>
        <w:autoSpaceDN w:val="0"/>
        <w:tabs>
          <w:tab w:pos="1798" w:val="left"/>
        </w:tabs>
        <w:autoSpaceDE w:val="0"/>
        <w:widowControl/>
        <w:spacing w:line="247" w:lineRule="auto" w:before="3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Ministry of the Minister assigned the subject of</w:t>
      </w:r>
    </w:p>
    <w:p>
      <w:pPr>
        <w:autoSpaceDN w:val="0"/>
        <w:autoSpaceDE w:val="0"/>
        <w:widowControl/>
        <w:spacing w:line="238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International Trade (hereinafter referred to as the</w:t>
      </w:r>
    </w:p>
    <w:p>
      <w:pPr>
        <w:autoSpaceDN w:val="0"/>
        <w:autoSpaceDE w:val="0"/>
        <w:widowControl/>
        <w:spacing w:line="238" w:lineRule="auto" w:before="36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“Secretary”),”.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principal enactment is hereby amended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Reference to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“Director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“Director General” wherever those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General”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occur in the principal enactment, notice, notification,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reference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contract, communication or other document, of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“Secretary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“Secretary to the Ministry of the Minister assigned the subject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Ministry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International Trade”.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Minister</w:t>
            </w:r>
          </w:p>
        </w:tc>
      </w:tr>
    </w:tbl>
    <w:p>
      <w:pPr>
        <w:autoSpaceDN w:val="0"/>
        <w:autoSpaceDE w:val="0"/>
        <w:widowControl/>
        <w:spacing w:line="247" w:lineRule="auto" w:before="6" w:after="242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subject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Trade”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60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4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4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Safeguard Measures (Amendment)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