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26,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26.07.2024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0" w:after="0"/>
        <w:ind w:left="2592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PRIMARY COURT’S PROCEDURE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21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Primary Court’s Procedure Act, No. 44 of 1979</w:t>
      </w:r>
    </w:p>
    <w:p>
      <w:pPr>
        <w:autoSpaceDN w:val="0"/>
        <w:autoSpaceDE w:val="0"/>
        <w:widowControl/>
        <w:spacing w:line="245" w:lineRule="auto" w:before="34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sections 70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70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Primary Court’s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Act, No. 44 of 1979 to provide for the judge of the primary court to transfer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case record of which he has made an order under section 68 or 69, to the relevant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District Court where he is in the opinion that the matter in dispute is related to a title or </w:t>
      </w:r>
      <w:r>
        <w:rPr>
          <w:rFonts w:ascii="Times" w:hAnsi="Times" w:eastAsia="Times"/>
          <w:b w:val="0"/>
          <w:i w:val="0"/>
          <w:color w:val="000000"/>
          <w:sz w:val="16"/>
        </w:rPr>
        <w:t>interest of a party and appropriate to be adjudicated by the District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Primary Court’s Procedure (Amendment)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27/2024</w:t>
      </w:r>
    </w:p>
    <w:p>
      <w:pPr>
        <w:autoSpaceDN w:val="0"/>
        <w:autoSpaceDE w:val="0"/>
        <w:widowControl/>
        <w:spacing w:line="250" w:lineRule="auto" w:before="27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RIMARY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6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Primary Court’s Procedure </w:t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24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1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70 of the Primary Court’s Procedure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70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44 of 1979  and shall have effect as sections 70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70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44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1979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“Forwarding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at the time the Judge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Court delivers an order, 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records to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 or 69, as the case may be-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District</w:t>
      </w:r>
    </w:p>
    <w:p>
      <w:pPr>
        <w:autoSpaceDN w:val="0"/>
        <w:tabs>
          <w:tab w:pos="3316" w:val="left"/>
          <w:tab w:pos="3716" w:val="left"/>
        </w:tabs>
        <w:autoSpaceDE w:val="0"/>
        <w:widowControl/>
        <w:spacing w:line="254" w:lineRule="auto" w:before="50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Court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if, any party to the dispute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66, makes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if, the Judge of the Primary Court is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opinion that the matter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 is related to a title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 party, and it is appropriate to be</w:t>
      </w:r>
    </w:p>
    <w:p>
      <w:pPr>
        <w:autoSpaceDN w:val="0"/>
        <w:tabs>
          <w:tab w:pos="3716" w:val="left"/>
        </w:tabs>
        <w:autoSpaceDE w:val="0"/>
        <w:widowControl/>
        <w:spacing w:line="264" w:lineRule="auto" w:before="2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adjudicated by a District Court,</w:t>
      </w:r>
    </w:p>
    <w:p>
      <w:pPr>
        <w:autoSpaceDN w:val="0"/>
        <w:autoSpaceDE w:val="0"/>
        <w:widowControl/>
        <w:spacing w:line="264" w:lineRule="auto" w:before="252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Judge of the Primary Court shall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to forward the case record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Court having jurisdiction of the land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right or interest to the land in dispute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3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situates, while keeping a copy of the order,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one month from the date of the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Primary Court’s Procedure (Amendment)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69" w:lineRule="auto" w:before="50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 order to forward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record to the District Court, the Judge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Primary Court may direct the parties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execute any order made by him within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from the date of such order and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orders on the parties to maintain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status quo until any order, whether interim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final, is made by the District Court.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66" w:lineRule="auto" w:before="298" w:after="238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law, no appeal or revision shall lie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order of the Judge of the Primary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on which he made an order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forward the case record to the District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 receipt of a case record under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 District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the judge of the District Court shall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allocate a case number and issue notice on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736" w:right="2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to appear before the Court on a date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later than one month from the date of such order.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66" w:lineRule="auto" w:before="296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District Court shall proceed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matter as if such matter has been instituted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Chapter XLIII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(Chapter 101) and the provisions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relation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71" w:lineRule="auto" w:before="280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District Court shall order the parties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submit their statements of claims.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Court may, on its’ own motion or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by any party before it, add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party to the proceedings, if the court is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that such addition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ends of justice or to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abuse of the process of the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Primary Court’s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76" w:val="left"/>
          <w:tab w:pos="2878" w:val="left"/>
          <w:tab w:pos="3116" w:val="left"/>
        </w:tabs>
        <w:autoSpaceDE w:val="0"/>
        <w:widowControl/>
        <w:spacing w:line="266" w:lineRule="auto" w:before="526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District Court, on an application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party or on its’ own motion, and if the court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satisfied, may set-aside, vary, alter or amend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order made by the Judge of the Primary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under section 70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at any stage before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final judgment is pronounced.</w:t>
      </w:r>
    </w:p>
    <w:p>
      <w:pPr>
        <w:autoSpaceDN w:val="0"/>
        <w:autoSpaceDE w:val="0"/>
        <w:widowControl/>
        <w:spacing w:line="262" w:lineRule="auto" w:before="298" w:after="1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this Act has not provided for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arising in such proceedings,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the Civil Procedure 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101) governing a like matter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suitable adaptation as the justice of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2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case may require be adopted and applied.”.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8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6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Primary Court’s Procedure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