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July 26, 2024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29.07.2024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6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SRI   LANKA   OPTOMETRIC   ASSOCIATION </w:t>
      </w:r>
      <w:r>
        <w:rPr>
          <w:rFonts w:ascii="Times,Bold" w:hAnsi="Times,Bold" w:eastAsia="Times,Bold"/>
          <w:b/>
          <w:i w:val="0"/>
          <w:color w:val="000000"/>
          <w:sz w:val="24"/>
        </w:rPr>
        <w:t>(INCORPORATION)</w:t>
      </w:r>
    </w:p>
    <w:p>
      <w:pPr>
        <w:autoSpaceDN w:val="0"/>
        <w:autoSpaceDE w:val="0"/>
        <w:widowControl/>
        <w:spacing w:line="235" w:lineRule="auto" w:before="176" w:after="0"/>
        <w:ind w:left="0" w:right="34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21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8" w:lineRule="exact" w:before="200" w:after="0"/>
        <w:ind w:left="0" w:right="229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to incorporate the Sri Lanka Optometric Association</w:t>
      </w:r>
    </w:p>
    <w:p>
      <w:pPr>
        <w:autoSpaceDN w:val="0"/>
        <w:autoSpaceDE w:val="0"/>
        <w:widowControl/>
        <w:spacing w:line="248" w:lineRule="exact" w:before="188" w:after="0"/>
        <w:ind w:left="2016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</w:t>
      </w:r>
      <w:r>
        <w:rPr>
          <w:rFonts w:ascii="TimesNewRoman,Italic" w:hAnsi="TimesNewRoman,Italic" w:eastAsia="TimesNewRoman,Italic"/>
          <w:b w:val="0"/>
          <w:i/>
          <w:color w:val="343938"/>
          <w:sz w:val="20"/>
        </w:rPr>
        <w:t xml:space="preserve">Hon. (Dr.) Kavinda Heshan </w:t>
      </w:r>
      <w:r>
        <w:rPr>
          <w:rFonts w:ascii="TimesNewRoman,Italic" w:hAnsi="TimesNewRoman,Italic" w:eastAsia="TimesNewRoman,Italic"/>
          <w:b w:val="0"/>
          <w:i/>
          <w:color w:val="343938"/>
          <w:sz w:val="20"/>
        </w:rPr>
        <w:t>Jayawardhana, M. P.  for Gampaha District</w:t>
      </w:r>
    </w:p>
    <w:p>
      <w:pPr>
        <w:autoSpaceDN w:val="0"/>
        <w:autoSpaceDE w:val="0"/>
        <w:widowControl/>
        <w:spacing w:line="245" w:lineRule="auto" w:before="33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2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Optometric Association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71" w:lineRule="auto" w:before="31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 TO  INCORPORATE 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PTOMETRIC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tabs>
          <w:tab w:pos="1794" w:val="left"/>
          <w:tab w:pos="6758" w:val="left"/>
        </w:tabs>
        <w:autoSpaceDE w:val="0"/>
        <w:widowControl/>
        <w:spacing w:line="290" w:lineRule="auto" w:before="354" w:after="0"/>
        <w:ind w:left="152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Association called and known as the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“Sri Lanka Optometric Association” has heretofore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in Sri Lanka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its objects and transacting all matters connected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said Association according to the rules agreed to by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members:</w:t>
      </w:r>
    </w:p>
    <w:p>
      <w:pPr>
        <w:autoSpaceDN w:val="0"/>
        <w:tabs>
          <w:tab w:pos="1794" w:val="left"/>
        </w:tabs>
        <w:autoSpaceDE w:val="0"/>
        <w:widowControl/>
        <w:spacing w:line="290" w:lineRule="auto" w:before="35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incorporated and it will be expedient to grant the said </w:t>
      </w:r>
      <w:r>
        <w:rPr>
          <w:rFonts w:ascii="Times" w:hAnsi="Times" w:eastAsia="Times"/>
          <w:b w:val="0"/>
          <w:i w:val="0"/>
          <w:color w:val="000000"/>
          <w:sz w:val="20"/>
        </w:rPr>
        <w:t>application:</w:t>
      </w:r>
    </w:p>
    <w:p>
      <w:pPr>
        <w:autoSpaceDN w:val="0"/>
        <w:autoSpaceDE w:val="0"/>
        <w:widowControl/>
        <w:spacing w:line="269" w:lineRule="auto" w:before="354" w:after="294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Sri Lanka Optometric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 (Incorporation) Act, No.     of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From and after the date of commencement of 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 Sri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Sri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Optometric Association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Optometric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“Association”) or shall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Association hereby constituted, shall be a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4" w:val="left"/>
        </w:tabs>
        <w:autoSpaceDE w:val="0"/>
        <w:widowControl/>
        <w:spacing w:line="293" w:lineRule="auto" w:before="2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 perpetual succession, under the name and style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“Sri Lanka Optometric Association” (hereinafter referred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“body corporate”) and by that name may sue and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sued, in all Courts with full power and authority to have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use a common seal and to alter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68" w:after="16"/>
        <w:ind w:left="1702" w:right="2536" w:firstLine="5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(2) The body corporate shall be deemed to be a voluntary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>(Registration and Supervision) Act, No. 31 of 1980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that Act shall apply to and in relation to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of the affairs of the Corporation.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body corporate shall operates exclusively as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for profit Organization and it is solely for the benefit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operates as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Association and its members.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5" w:lineRule="auto" w:before="6" w:after="258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general objects for which the body corporate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General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constituted are hereby declared to be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</w:tbl>
    <w:p>
      <w:pPr>
        <w:autoSpaceDN w:val="0"/>
        <w:tabs>
          <w:tab w:pos="2422" w:val="left"/>
          <w:tab w:pos="6622" w:val="left"/>
        </w:tabs>
        <w:autoSpaceDE w:val="0"/>
        <w:widowControl/>
        <w:spacing w:line="259" w:lineRule="auto" w:before="6" w:after="236"/>
        <w:ind w:left="2018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corporate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plan strategically to achieve the enhancement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development of primary eye and vision care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optometrists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high standards of education and practice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by optometrists in Sri Lanka;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3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the advancement of the science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optometry for the benefit of mankind;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unite and coordinate optometry in Sri Lanka;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generally support aid programmes directed at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 of eye and vision care to persons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need;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238"/>
        <w:ind w:left="20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promote, safeguard and further the interest, rights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privileges of optometrists in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keep members informed of matters relating to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optometry;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6" w:val="left"/>
          <w:tab w:pos="6478" w:val="left"/>
        </w:tabs>
        <w:autoSpaceDE w:val="0"/>
        <w:widowControl/>
        <w:spacing w:line="248" w:lineRule="exact" w:before="0" w:after="0"/>
        <w:ind w:left="282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68" w:after="23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maintain liaison with government authorities,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organizations and other persons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organizations related to optometry;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2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examinations and issue qualification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certificates.</w:t>
            </w:r>
          </w:p>
        </w:tc>
      </w:tr>
    </w:tbl>
    <w:p>
      <w:pPr>
        <w:autoSpaceDN w:val="0"/>
        <w:autoSpaceDE w:val="0"/>
        <w:widowControl/>
        <w:spacing w:line="264" w:lineRule="auto" w:before="230" w:after="18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 body corporate shall ensure that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000000"/>
          <w:sz w:val="20"/>
        </w:rPr>
        <w:t>discrimination based on race, religion, language, caste, sex,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opinion, place of birth or any of such grounds.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 to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so as not to create any conflict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no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body corporate and any work being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1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an Executive Committee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"the Committee"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8.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24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Executive Committee of the Association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shall function as the Interim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of the body corporate until the first Committee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appointed or elected in the manner provided for by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section 8.</w:t>
      </w:r>
    </w:p>
    <w:p>
      <w:pPr>
        <w:autoSpaceDN w:val="0"/>
        <w:autoSpaceDE w:val="0"/>
        <w:widowControl/>
        <w:spacing w:line="259" w:lineRule="auto" w:before="294" w:after="0"/>
        <w:ind w:left="1798" w:right="240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Committee of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0" w:after="0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Committee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patrons and advisors, shall be appointed or elected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eligible for re-appointment or re-election after lapse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said period of three years.</w:t>
      </w:r>
    </w:p>
    <w:p>
      <w:pPr>
        <w:autoSpaceDN w:val="0"/>
        <w:autoSpaceDE w:val="0"/>
        <w:widowControl/>
        <w:spacing w:line="257" w:lineRule="auto" w:before="276" w:after="0"/>
        <w:ind w:left="1702" w:right="253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Committee shall having regard to the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Association, elect or appoint a person to fill such vacancy.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216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power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purchase, acquire rent, construct, renovate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obtain lands or buildings which may be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purpose of the body corporate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deal with or dispose of the same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expedient with a view to promoting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</w:tr>
    </w:tbl>
    <w:p>
      <w:pPr>
        <w:autoSpaceDN w:val="0"/>
        <w:autoSpaceDE w:val="0"/>
        <w:widowControl/>
        <w:spacing w:line="257" w:lineRule="auto" w:before="198" w:after="16"/>
        <w:ind w:left="2422" w:right="2534" w:firstLine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Committee shall obtain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written approval of the Department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Resources of the Ministry of the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Finance, in respect of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grants, gifts or donations made to the body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6" w:val="left"/>
          <w:tab w:pos="6478" w:val="left"/>
        </w:tabs>
        <w:autoSpaceDE w:val="0"/>
        <w:widowControl/>
        <w:spacing w:line="248" w:lineRule="exact" w:before="0" w:after="0"/>
        <w:ind w:left="282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278" w:after="2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make, draw, accept, discount, endorse, negotiate,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promissory notes and other negotiable instruments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 and close accounts in any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body corporate in such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Committee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 and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other things as are necessary or expedient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two thirds of the members present and voting, to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matters:-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2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members;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74" w:lineRule="auto" w:before="274" w:after="25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 of office bearers of the Committee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64" w:lineRule="auto" w:before="2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body corporate;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6" w:lineRule="auto" w:before="32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at the summoning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Committee,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sub-committee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thereat;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20" w:after="26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Committee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body corporate; and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2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management of the affairs of the body corporate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 objects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3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rules made by the body corporate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000000"/>
          <w:sz w:val="20"/>
        </w:rPr>
        <w:t>and in like manner as a rule made under sub- section (1).</w:t>
      </w:r>
    </w:p>
    <w:p>
      <w:pPr>
        <w:autoSpaceDN w:val="0"/>
        <w:tabs>
          <w:tab w:pos="1942" w:val="left"/>
        </w:tabs>
        <w:autoSpaceDE w:val="0"/>
        <w:widowControl/>
        <w:spacing w:line="262" w:lineRule="auto" w:before="32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body corporate shall at all time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 to rules of the body corporate.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3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Government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6" w:val="left"/>
          <w:tab w:pos="6478" w:val="left"/>
        </w:tabs>
        <w:autoSpaceDE w:val="0"/>
        <w:widowControl/>
        <w:spacing w:line="248" w:lineRule="exact" w:before="0" w:after="212"/>
        <w:ind w:left="282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Committee shall maintain a register of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name, address and other essential details of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8" w:after="250"/>
        <w:ind w:left="151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current complete members be bestowed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designation of “Chartered Optometrists” and the eligibility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criteria for the title “Chartered Optometrist” be raised to a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“Higher National Diploma in Optometry (HNDO)” or higher.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gifts, bequests,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8" w:after="0"/>
        <w:ind w:left="17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Banks approved by the Committee to the credit of the </w:t>
      </w:r>
      <w:r>
        <w:rPr>
          <w:rFonts w:ascii="Times" w:hAnsi="Times" w:eastAsia="Times"/>
          <w:b w:val="0"/>
          <w:i w:val="0"/>
          <w:color w:val="000000"/>
          <w:sz w:val="20"/>
        </w:rPr>
        <w:t>Association.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8" w:after="24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body corporate shall cause proper accounts to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all other transactions of the body corporate.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308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body corporate shall be audited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Auditor General or by a qualified auditor appointed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30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  <w:tab w:pos="3466" w:val="left"/>
        </w:tabs>
        <w:autoSpaceDE w:val="0"/>
        <w:widowControl/>
        <w:spacing w:line="228" w:lineRule="exact" w:before="38" w:after="0"/>
        <w:ind w:left="1702" w:right="345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68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individual who being a member of the Institute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practice as Accountant issued by the Council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Institute;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2304" w:right="2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being a member of the Institute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Chartered Accountants of Sri Lanka or of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Institute established by law possesses a certificate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 issued by the Council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0"/>
        <w:ind w:left="0" w:right="5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Committee shall prepare a report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 of the body corporate for each financial year and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submit such report together with the audited statement of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1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accounts to the membership at the Annual General Meeting.</w:t>
      </w:r>
    </w:p>
    <w:p>
      <w:pPr>
        <w:autoSpaceDN w:val="0"/>
        <w:autoSpaceDE w:val="0"/>
        <w:widowControl/>
        <w:spacing w:line="250" w:lineRule="auto" w:before="240" w:after="20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year shall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the Association existing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constituted, and all debts due to, and subscriptions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8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contributions payable to the Association on that day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paid to the body 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to take and hold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 which may become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 grant, gift,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testamentary disposition or otherwise, and all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shall be held by the body corporate for the purposes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and subject to the rules of the body corporate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under section 8, with power to sell, mortgage, lease,</w:t>
      </w:r>
    </w:p>
    <w:p>
      <w:pPr>
        <w:autoSpaceDN w:val="0"/>
        <w:autoSpaceDE w:val="0"/>
        <w:widowControl/>
        <w:spacing w:line="238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exchange or otherwise dispose of the same.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6" w:val="left"/>
          <w:tab w:pos="6478" w:val="left"/>
        </w:tabs>
        <w:autoSpaceDE w:val="0"/>
        <w:widowControl/>
        <w:spacing w:line="248" w:lineRule="exact" w:before="0" w:after="212"/>
        <w:ind w:left="282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Sri Lanka Optometric Association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 and property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 portion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22" w:after="254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to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body corporate shall not be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affixed to any instrument whatsoever, except in the presence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two members of the Committee who shall sign their names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instrument in token of their presence and such signing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2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a </w:t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p>
      <w:pPr>
        <w:autoSpaceDN w:val="0"/>
        <w:autoSpaceDE w:val="0"/>
        <w:widowControl/>
        <w:spacing w:line="259" w:lineRule="auto" w:before="312" w:after="2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>of an office bearer of the Committee as may be decided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Committee.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body corporate there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4" w:lineRule="auto" w:before="2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body corporate, but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given or transferred to any other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tabs>
          <w:tab w:pos="1798" w:val="left"/>
          <w:tab w:pos="1978" w:val="left"/>
        </w:tabs>
        <w:autoSpaceDE w:val="0"/>
        <w:widowControl/>
        <w:spacing w:line="271" w:lineRule="auto" w:before="314" w:after="258"/>
        <w:ind w:left="147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this subsection (1)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institution shall be determined by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immediately before the dissolution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general meeting by the majority of votes of the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7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918" w:right="0" w:firstLine="18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 affect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of anybody politic or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2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Optometric Association</w:t>
      </w:r>
    </w:p>
    <w:p>
      <w:pPr>
        <w:autoSpaceDN w:val="0"/>
        <w:autoSpaceDE w:val="0"/>
        <w:widowControl/>
        <w:spacing w:line="235" w:lineRule="auto" w:before="2" w:after="208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8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2" w:val="left"/>
              </w:tabs>
              <w:autoSpaceDE w:val="0"/>
              <w:widowControl/>
              <w:spacing w:line="25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4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Sri Lanka Optometric Association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4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170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