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tabs>
          <w:tab w:pos="2564" w:val="left"/>
          <w:tab w:pos="3358" w:val="left"/>
          <w:tab w:pos="3462" w:val="left"/>
          <w:tab w:pos="3638" w:val="left"/>
          <w:tab w:pos="3718" w:val="left"/>
        </w:tabs>
        <w:autoSpaceDE w:val="0"/>
        <w:widowControl/>
        <w:spacing w:line="346" w:lineRule="auto" w:before="0" w:after="0"/>
        <w:ind w:left="1598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 LANKA </w:t>
      </w:r>
      <w:r>
        <w:br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 July 26, 2024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30.07.2024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970" w:val="left"/>
          <w:tab w:pos="2232" w:val="left"/>
          <w:tab w:pos="2562" w:val="left"/>
          <w:tab w:pos="3644" w:val="left"/>
          <w:tab w:pos="4316" w:val="left"/>
          <w:tab w:pos="4490" w:val="left"/>
        </w:tabs>
        <w:autoSpaceDE w:val="0"/>
        <w:widowControl/>
        <w:spacing w:line="460" w:lineRule="exact" w:before="146" w:after="0"/>
        <w:ind w:left="180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KODHAGODA GUNARATHANA NAHIMI </w:t>
      </w:r>
      <w:r>
        <w:br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FOUNDATION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Kodhagoda Gunarathana Nahimi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Hon. Yadamini Gunawardena M. P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304" w:after="0"/>
        <w:ind w:left="0" w:right="259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Kodhagoda Gunarathana Nahimi Foundation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304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 TO  INCORPORATE 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>ODHAGODA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UNARATHANA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AHIMI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4" w:val="left"/>
          <w:tab w:pos="6758" w:val="left"/>
        </w:tabs>
        <w:autoSpaceDE w:val="0"/>
        <w:widowControl/>
        <w:spacing w:line="278" w:lineRule="auto" w:before="326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“Kodhagoda Gunarathana Nahimi Foundation”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heretofore been formed in Sri Lanka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Foundation according to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agreed by its members:</w:t>
      </w:r>
    </w:p>
    <w:p>
      <w:pPr>
        <w:autoSpaceDN w:val="0"/>
        <w:tabs>
          <w:tab w:pos="1794" w:val="left"/>
        </w:tabs>
        <w:autoSpaceDE w:val="0"/>
        <w:widowControl/>
        <w:spacing w:line="278" w:lineRule="auto" w:before="326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several objects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for which it was established, and has applied to  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incorporated, and it will be expedient to grant the said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62" w:lineRule="auto" w:before="326" w:after="266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 cited as  the Kodhagoda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Gunarathana Nahimi Foundation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(Incorporation)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" w:after="254"/>
        <w:ind w:left="17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   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Kodhagoda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Kodhagoda Gunarathana Nahimi Foundation (hereinafter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Gunarathana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“Foundation”) or shall hereafter be admitted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Nahimi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members of the Corporation hereby constituted shall be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4"/>
        <w:ind w:left="1794" w:right="24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body corporate with perpetual succession, under the name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Kodhagoda Gunarathana Nahimi </w:t>
      </w:r>
      <w:r>
        <w:rPr>
          <w:rFonts w:ascii="Times" w:hAnsi="Times" w:eastAsia="Times"/>
          <w:b w:val="0"/>
          <w:i w:val="0"/>
          <w:color w:val="000000"/>
          <w:sz w:val="20"/>
        </w:rPr>
        <w:t>Foundation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” (hereinafter referred to as the “body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7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corporation”) and by that name may sue and be sued,  in 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Courts with full power and authority to have and use a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17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common seal 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  <w:tab w:pos="3496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6" w:lineRule="exact" w:before="244" w:after="0"/>
        <w:ind w:left="1704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social service organization within the meaning, and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purpose of the Voluntary Social Service Organizations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(Registration and Supervision) Act, No. 31 of 1980 and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Act shall apply to and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management of the affairs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operates exclusively as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not-for-profit organization and it is solely for the benefit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operates as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society and its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262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general objects for which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constituted are hereby declared to be-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corporate</w:t>
      </w:r>
    </w:p>
    <w:p>
      <w:pPr>
        <w:autoSpaceDN w:val="0"/>
        <w:autoSpaceDE w:val="0"/>
        <w:widowControl/>
        <w:spacing w:line="266" w:lineRule="auto" w:before="270" w:after="0"/>
        <w:ind w:left="2304" w:right="25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develop quality relationship between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beneficiaries of the Kodhagoda Gunarathana </w:t>
      </w:r>
      <w:r>
        <w:rPr>
          <w:rFonts w:ascii="Times" w:hAnsi="Times" w:eastAsia="Times"/>
          <w:b w:val="0"/>
          <w:i w:val="0"/>
          <w:color w:val="000000"/>
          <w:sz w:val="20"/>
        </w:rPr>
        <w:t>Nahimi Foundation;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66" w:lineRule="auto" w:before="29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develop human resources and facilitate career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development;</w:t>
      </w:r>
    </w:p>
    <w:p>
      <w:pPr>
        <w:autoSpaceDN w:val="0"/>
        <w:autoSpaceDE w:val="0"/>
        <w:widowControl/>
        <w:spacing w:line="282" w:lineRule="exact" w:before="25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create a religious and cultural revival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beneficiaries of the Foundation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71" w:lineRule="auto" w:before="29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appropriate liaison between Kodhagoda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Gunarathana Nahimi Foundation and national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thereby promoting 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physical development of Kodhagoda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Gunarathana Nahimi Foundation;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64" w:lineRule="auto" w:before="30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bring the religious, moral, educational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 development to the various ethnicities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398" w:val="left"/>
        </w:tabs>
        <w:autoSpaceDE w:val="0"/>
        <w:widowControl/>
        <w:spacing w:line="252" w:lineRule="auto" w:before="268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develop quality relationship between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Foundation and it’s beneficiaries;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facilitate the economic and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of the low income community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64" w:lineRule="auto" w:before="250" w:after="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work for the advancement of various local cultures;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fulfill the physical needs of the  local people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reliable relationship internationally.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7" w:lineRule="auto" w:before="276" w:after="216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 work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Management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“Board” consisting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Board of Management of the Foundation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holds office on the day immediately preceding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body corporate until the first Board is appointed or elected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manner provided for by rules made under Section 8.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  <w:tab w:pos="3496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76" w:lineRule="exact" w:before="240" w:after="0"/>
        <w:ind w:left="1704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first board of the body corporate shall be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elected within one year of the  date of commencement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68" w:lineRule="exact" w:before="284" w:after="0"/>
        <w:ind w:left="19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Every office bearer of the Board including the</w:t>
      </w:r>
    </w:p>
    <w:p>
      <w:pPr>
        <w:autoSpaceDN w:val="0"/>
        <w:tabs>
          <w:tab w:pos="1704" w:val="left"/>
        </w:tabs>
        <w:autoSpaceDE w:val="0"/>
        <w:widowControl/>
        <w:spacing w:line="276" w:lineRule="exact" w:before="0" w:after="0"/>
        <w:ind w:left="14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patrons and advisors, shall be appointed or elected for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three years and any such office bearer, patron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advisor shall be eligible for  re-appointment or re-election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after lapse of the said period of three years;</w:t>
      </w:r>
    </w:p>
    <w:p>
      <w:pPr>
        <w:autoSpaceDN w:val="0"/>
        <w:autoSpaceDE w:val="0"/>
        <w:widowControl/>
        <w:spacing w:line="268" w:lineRule="exact" w:before="284" w:after="0"/>
        <w:ind w:left="19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In the event of a vacancy occurring due to the death,</w:t>
      </w:r>
    </w:p>
    <w:p>
      <w:pPr>
        <w:autoSpaceDN w:val="0"/>
        <w:tabs>
          <w:tab w:pos="1704" w:val="left"/>
        </w:tabs>
        <w:autoSpaceDE w:val="0"/>
        <w:widowControl/>
        <w:spacing w:line="276" w:lineRule="exact" w:before="0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bearer, the Board shalll having regard to the rules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body corporate, elect or appoint a person to fill such vacancy;</w:t>
      </w:r>
    </w:p>
    <w:p>
      <w:pPr>
        <w:autoSpaceDN w:val="0"/>
        <w:autoSpaceDE w:val="0"/>
        <w:widowControl/>
        <w:spacing w:line="276" w:lineRule="exact" w:before="276" w:after="4"/>
        <w:ind w:left="1704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hold office only for the unexpired portion of the term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of the member whom he succeeds.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0" w:after="0"/>
              <w:ind w:left="32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Subject to the provision of this Act and any other 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law, the body corporate shall have the power to do, perform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execute all such acts and matters as necessary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desirable for the promotion or any one of them, including the</w:t>
      </w:r>
    </w:p>
    <w:p>
      <w:pPr>
        <w:autoSpaceDN w:val="0"/>
        <w:tabs>
          <w:tab w:pos="1704" w:val="left"/>
        </w:tabs>
        <w:autoSpaceDE w:val="0"/>
        <w:widowControl/>
        <w:spacing w:line="236" w:lineRule="exact" w:before="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power -</w:t>
      </w:r>
    </w:p>
    <w:p>
      <w:pPr>
        <w:autoSpaceDN w:val="0"/>
        <w:autoSpaceDE w:val="0"/>
        <w:widowControl/>
        <w:spacing w:line="235" w:lineRule="auto" w:before="304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purchase, acquire, rent, construct, remove and</w:t>
      </w:r>
    </w:p>
    <w:p>
      <w:pPr>
        <w:autoSpaceDN w:val="0"/>
        <w:autoSpaceDE w:val="0"/>
        <w:widowControl/>
        <w:spacing w:line="235" w:lineRule="auto" w:before="5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p>
      <w:pPr>
        <w:autoSpaceDN w:val="0"/>
        <w:autoSpaceDE w:val="0"/>
        <w:widowControl/>
        <w:spacing w:line="235" w:lineRule="auto" w:before="5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required for the purpose of the body corporate and</w:t>
      </w:r>
    </w:p>
    <w:p>
      <w:pPr>
        <w:autoSpaceDN w:val="0"/>
        <w:autoSpaceDE w:val="0"/>
        <w:widowControl/>
        <w:spacing w:line="235" w:lineRule="auto" w:before="5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deal with or dispose of the same as may be deemed</w:t>
      </w:r>
    </w:p>
    <w:p>
      <w:pPr>
        <w:autoSpaceDN w:val="0"/>
        <w:tabs>
          <w:tab w:pos="2304" w:val="left"/>
        </w:tabs>
        <w:autoSpaceDE w:val="0"/>
        <w:widowControl/>
        <w:spacing w:line="264" w:lineRule="auto" w:before="5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expedient with a view to promoting the objects of</w:t>
      </w:r>
    </w:p>
    <w:p>
      <w:pPr>
        <w:autoSpaceDN w:val="0"/>
        <w:autoSpaceDE w:val="0"/>
        <w:widowControl/>
        <w:spacing w:line="235" w:lineRule="auto" w:before="24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autoSpaceDE w:val="0"/>
        <w:widowControl/>
        <w:spacing w:line="235" w:lineRule="auto" w:before="326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to raise funds and receive grants, gifts or donations,</w:t>
      </w:r>
    </w:p>
    <w:p>
      <w:pPr>
        <w:autoSpaceDN w:val="0"/>
        <w:autoSpaceDE w:val="0"/>
        <w:widowControl/>
        <w:spacing w:line="238" w:lineRule="auto" w:before="54" w:after="0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cash or kind with or without security: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398" w:val="left"/>
          <w:tab w:pos="2798" w:val="left"/>
        </w:tabs>
        <w:autoSpaceDE w:val="0"/>
        <w:widowControl/>
        <w:spacing w:line="266" w:lineRule="auto" w:before="26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subjects of Finance, in respect of all foreign grants,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62" w:lineRule="auto" w:before="292" w:after="4"/>
        <w:ind w:left="2398" w:right="240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37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to open, operate and close accounts in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banks;</w:t>
            </w:r>
          </w:p>
        </w:tc>
      </w:tr>
    </w:tbl>
    <w:p>
      <w:pPr>
        <w:autoSpaceDN w:val="0"/>
        <w:autoSpaceDE w:val="0"/>
        <w:widowControl/>
        <w:spacing w:line="262" w:lineRule="auto" w:before="226" w:after="0"/>
        <w:ind w:left="2398" w:right="2404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the corporate in such manner as the Board </w:t>
      </w:r>
      <w:r>
        <w:rPr>
          <w:rFonts w:ascii="Times" w:hAnsi="Times" w:eastAsia="Times"/>
          <w:b w:val="0"/>
          <w:i w:val="0"/>
          <w:color w:val="000000"/>
          <w:sz w:val="20"/>
        </w:rPr>
        <w:t>may determine;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lawful trust or any real or personal property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promoting the objects of the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autoSpaceDE w:val="0"/>
        <w:widowControl/>
        <w:spacing w:line="238" w:lineRule="auto" w:before="296" w:after="4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to appoint, employ, dismiss or terminate the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officers and servants of the body corporation  and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 disciplinary control over them and to pay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them such salaries, allowances and gratuities as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determined by the body corporate;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to do all other things as are necessary or expedient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proper and effective carrying out the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  <w:tab w:pos="3496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0" w:lineRule="exact" w:before="234" w:after="0"/>
        <w:ind w:left="2304" w:right="25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and </w:t>
      </w:r>
      <w:r>
        <w:rPr>
          <w:rFonts w:ascii="Times" w:hAnsi="Times" w:eastAsia="Times"/>
          <w:b w:val="0"/>
          <w:i w:val="0"/>
          <w:color w:val="000000"/>
          <w:sz w:val="20"/>
        </w:rPr>
        <w:t>fees payable by members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38" w:lineRule="auto" w:before="266" w:after="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of office bearers of the Board or vacation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4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or removal from office of office bearers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of the office bearers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6" w:lineRule="exact" w:before="176" w:after="0"/>
        <w:ind w:left="2304" w:right="253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60" w:lineRule="exact" w:before="218" w:after="20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at the summoning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holding of meetings of the Board, or any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6" w:after="0"/>
              <w:ind w:left="14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qualifications and disqualifications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Board and the body corporate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50" w:lineRule="auto" w:before="206" w:after="0"/>
        <w:ind w:left="20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management of the affairs of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body corporate.</w:t>
      </w:r>
    </w:p>
    <w:p>
      <w:pPr>
        <w:autoSpaceDN w:val="0"/>
        <w:autoSpaceDE w:val="0"/>
        <w:widowControl/>
        <w:spacing w:line="254" w:lineRule="auto" w:before="276" w:after="0"/>
        <w:ind w:left="1704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made by the body corporate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rules of the body corporate.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rules made under this section shall be published</w:t>
      </w:r>
    </w:p>
    <w:p>
      <w:pPr>
        <w:autoSpaceDN w:val="0"/>
        <w:autoSpaceDE w:val="0"/>
        <w:widowControl/>
        <w:spacing w:line="238" w:lineRule="auto" w:before="4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the Government 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212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Board shall maintain a register of members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gift, bequest, donation,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subscription, contribution, fees, or grants for an account of</w:t>
      </w:r>
    </w:p>
    <w:p>
      <w:pPr>
        <w:autoSpaceDN w:val="0"/>
        <w:autoSpaceDE w:val="0"/>
        <w:widowControl/>
        <w:spacing w:line="235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body corporate shall be deposited in one or more Banks</w:t>
      </w:r>
    </w:p>
    <w:p>
      <w:pPr>
        <w:autoSpaceDN w:val="0"/>
        <w:autoSpaceDE w:val="0"/>
        <w:widowControl/>
        <w:spacing w:line="238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approved by the Board to the credit of the body corporate.</w:t>
      </w:r>
    </w:p>
    <w:p>
      <w:pPr>
        <w:autoSpaceDN w:val="0"/>
        <w:autoSpaceDE w:val="0"/>
        <w:widowControl/>
        <w:spacing w:line="235" w:lineRule="auto" w:before="3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all sums of money</w:t>
      </w:r>
    </w:p>
    <w:p>
      <w:pPr>
        <w:autoSpaceDN w:val="0"/>
        <w:tabs>
          <w:tab w:pos="1798" w:val="left"/>
        </w:tabs>
        <w:autoSpaceDE w:val="0"/>
        <w:widowControl/>
        <w:spacing w:line="240" w:lineRule="auto" w:before="40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are required to defray any expenditure incurred by the</w:t>
      </w:r>
    </w:p>
    <w:p>
      <w:pPr>
        <w:autoSpaceDN w:val="0"/>
        <w:autoSpaceDE w:val="0"/>
        <w:widowControl/>
        <w:spacing w:line="238" w:lineRule="auto" w:before="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body corporate in the exercise, performance and discharge</w:t>
      </w:r>
    </w:p>
    <w:p>
      <w:pPr>
        <w:autoSpaceDN w:val="0"/>
        <w:autoSpaceDE w:val="0"/>
        <w:widowControl/>
        <w:spacing w:line="235" w:lineRule="auto" w:before="4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Body corporate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income and expenditure, assets and liabilities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all other transactions of the  Body corporate.</w:t>
      </w:r>
    </w:p>
    <w:p>
      <w:pPr>
        <w:autoSpaceDN w:val="0"/>
        <w:autoSpaceDE w:val="0"/>
        <w:widowControl/>
        <w:spacing w:line="266" w:lineRule="exact" w:before="26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accounts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Body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audited</w:t>
      </w:r>
    </w:p>
    <w:p>
      <w:pPr>
        <w:autoSpaceDN w:val="0"/>
        <w:autoSpaceDE w:val="0"/>
        <w:widowControl/>
        <w:spacing w:line="238" w:lineRule="auto" w:before="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Auditor General or by a qualified auditor appointed by</w:t>
      </w:r>
    </w:p>
    <w:p>
      <w:pPr>
        <w:autoSpaceDN w:val="0"/>
        <w:tabs>
          <w:tab w:pos="1798" w:val="left"/>
        </w:tabs>
        <w:autoSpaceDE w:val="0"/>
        <w:widowControl/>
        <w:spacing w:line="242" w:lineRule="auto" w:before="3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Auditor General in terms of Article 154 of the Constitution.</w:t>
      </w:r>
    </w:p>
    <w:p>
      <w:pPr>
        <w:autoSpaceDN w:val="0"/>
        <w:autoSpaceDE w:val="0"/>
        <w:widowControl/>
        <w:spacing w:line="238" w:lineRule="auto" w:before="3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</w:p>
    <w:p>
      <w:pPr>
        <w:autoSpaceDN w:val="0"/>
        <w:autoSpaceDE w:val="0"/>
        <w:widowControl/>
        <w:spacing w:line="238" w:lineRule="auto" w:before="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2" w:lineRule="exact" w:before="27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 being a member of the Institute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Chartered Accountants of Sri Lanka,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institute established by law, possesses a certified to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practice as  Accountant issued by the Council of such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Kodhagoda Gunarathana Nahimi Foundation</w:t>
      </w:r>
    </w:p>
    <w:p>
      <w:pPr>
        <w:autoSpaceDN w:val="0"/>
        <w:autoSpaceDE w:val="0"/>
        <w:widowControl/>
        <w:spacing w:line="235" w:lineRule="auto" w:before="2" w:after="208"/>
        <w:ind w:left="0" w:right="43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 firm of Accountants, each of the resident partners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 which being a  member of  the  Institute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Chartered Accountants of Sri Lanka or of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6" w:after="0"/>
              <w:ind w:left="84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Board shall prepare a report of the 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Body corporate for each financial year and submits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report together with the audited statement of accounts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Secretary of the Ministry of the Minister assigned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of Social Services and to the Registrar of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Social Services Organizations appointed under the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Social Service Organization (Registration and Supervision)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31 of 1980 before the expiration of six months of 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year succeeding the year to which such report relates.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72" w:after="190"/>
        <w:ind w:left="1704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and subscriptions  and contributions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payable  to the Foundation on that day shall be paid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 of this Act,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 grant, gift, testamentary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Body corporate for the purposes of this Act,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subject to the rules of the Body corporate made under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 8, with power to sell, mortgage, lease, exchange or</w:t>
      </w:r>
    </w:p>
    <w:p>
      <w:pPr>
        <w:autoSpaceDN w:val="0"/>
        <w:autoSpaceDE w:val="0"/>
        <w:widowControl/>
        <w:spacing w:line="238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212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918" w:right="4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portion thereof shall be paid or transferred directly or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32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by way of dividend, bonus or profit to the members</w:t>
      </w:r>
    </w:p>
    <w:p>
      <w:pPr>
        <w:autoSpaceDN w:val="0"/>
        <w:autoSpaceDE w:val="0"/>
        <w:widowControl/>
        <w:spacing w:line="235" w:lineRule="auto" w:before="4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Body corporation shall not be affixed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whatsoever, except in the presence of two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Body 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in token of their presence and such signing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38" w:lineRule="auto" w:before="3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Seal of the body corporate shall be in the custody</w:t>
      </w:r>
    </w:p>
    <w:p>
      <w:pPr>
        <w:autoSpaceDN w:val="0"/>
        <w:autoSpaceDE w:val="0"/>
        <w:widowControl/>
        <w:spacing w:line="235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an office bearer of the Board as may be decided by such</w:t>
      </w:r>
    </w:p>
    <w:p>
      <w:pPr>
        <w:autoSpaceDN w:val="0"/>
        <w:autoSpaceDE w:val="0"/>
        <w:widowControl/>
        <w:spacing w:line="238" w:lineRule="auto" w:before="42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If  upon the  dissolution of  the 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2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distributed among the members of the Body corporate but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given or transferred to any other Foundation having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objects similar to  those of the Body corporate, and which is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rules thereof, prohibited from distributing any income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property among its members.</w:t>
      </w:r>
    </w:p>
    <w:p>
      <w:pPr>
        <w:autoSpaceDN w:val="0"/>
        <w:autoSpaceDE w:val="0"/>
        <w:widowControl/>
        <w:spacing w:line="266" w:lineRule="exact" w:before="268" w:after="0"/>
        <w:ind w:left="20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For the purpose of this subsection (1) the appropriate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 shall be determined by the members of the body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corporate immediately before the dissolution at a general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36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Nothing in this Act contained shall prejudice or   affect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Kodhagoda Gunarathana Nahimi Foundation</w:t>
      </w:r>
    </w:p>
    <w:p>
      <w:pPr>
        <w:autoSpaceDN w:val="0"/>
        <w:autoSpaceDE w:val="0"/>
        <w:widowControl/>
        <w:spacing w:line="235" w:lineRule="auto" w:before="2" w:after="208"/>
        <w:ind w:left="0" w:right="43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4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Kodhagoda Gunarathana Nahimi Foundation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