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186" w:after="0"/>
        <w:ind w:left="0" w:right="311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August 02, 2024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02.08.2024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210" w:after="0"/>
        <w:ind w:left="0" w:right="256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PUBLIC ASSETS MANAGEMENT</w:t>
      </w:r>
    </w:p>
    <w:p>
      <w:pPr>
        <w:autoSpaceDN w:val="0"/>
        <w:autoSpaceDE w:val="0"/>
        <w:widowControl/>
        <w:spacing w:line="235" w:lineRule="auto" w:before="10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59" w:lineRule="auto" w:before="116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provide for the establishment of a Department to be called and known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as the Department of Comptroller-General; to identify and compile a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National Assets Register of non-financial movable or immovable assets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fully owned, assigned, possessed, vested in, held or utilised by a Public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Institution; to update such register periodically and to ensure proper </w:t>
      </w:r>
      <w:r>
        <w:rPr>
          <w:rFonts w:ascii="Times,Bold" w:hAnsi="Times,Bold" w:eastAsia="Times,Bold"/>
          <w:b/>
          <w:i w:val="0"/>
          <w:color w:val="000000"/>
          <w:sz w:val="20"/>
        </w:rPr>
        <w:t>returns of such assets to the Public Institutions and to provide for matters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connected therewith or incidental thereto</w:t>
      </w:r>
    </w:p>
    <w:p>
      <w:pPr>
        <w:autoSpaceDN w:val="0"/>
        <w:autoSpaceDE w:val="0"/>
        <w:widowControl/>
        <w:spacing w:line="250" w:lineRule="auto" w:before="180" w:after="0"/>
        <w:ind w:left="2448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Finance, </w:t>
      </w:r>
      <w:r>
        <w:br/>
      </w:r>
      <w:r>
        <w:rPr>
          <w:rFonts w:ascii="Times,Italic" w:hAnsi="Times,Italic" w:eastAsia="Times,Italic"/>
          <w:b w:val="0"/>
          <w:i/>
          <w:color w:val="343938"/>
          <w:sz w:val="20"/>
        </w:rPr>
        <w:t>Economic Stabilization and National Policies</w:t>
      </w:r>
    </w:p>
    <w:p>
      <w:pPr>
        <w:autoSpaceDN w:val="0"/>
        <w:tabs>
          <w:tab w:pos="2476" w:val="left"/>
          <w:tab w:pos="2702" w:val="left"/>
          <w:tab w:pos="6002" w:val="left"/>
        </w:tabs>
        <w:autoSpaceDE w:val="0"/>
        <w:widowControl/>
        <w:spacing w:line="245" w:lineRule="auto" w:before="138" w:after="0"/>
        <w:ind w:left="1442" w:right="1296" w:firstLine="0"/>
        <w:jc w:val="left"/>
      </w:pPr>
      <w:r>
        <w:tab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54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 - O.43/2022</w:t>
      </w:r>
    </w:p>
    <w:p>
      <w:pPr>
        <w:autoSpaceDN w:val="0"/>
        <w:autoSpaceDE w:val="0"/>
        <w:widowControl/>
        <w:spacing w:line="259" w:lineRule="auto" w:before="276" w:after="0"/>
        <w:ind w:left="2034" w:right="2416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DEPARTMENT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4"/>
        </w:rPr>
        <w:t>BE</w:t>
      </w:r>
      <w:r>
        <w:rPr>
          <w:rFonts w:ascii="Times" w:hAnsi="Times" w:eastAsia="Times"/>
          <w:b w:val="0"/>
          <w:i w:val="0"/>
          <w:color w:val="000000"/>
          <w:sz w:val="14"/>
        </w:rPr>
        <w:t>CALLED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KNOWN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OMPTROLLER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IDENTIFY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COMPILE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EGISTER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NON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4"/>
        </w:rPr>
        <w:t>FINANCIAL</w:t>
      </w:r>
      <w:r>
        <w:rPr>
          <w:rFonts w:ascii="Times" w:hAnsi="Times" w:eastAsia="Times"/>
          <w:b w:val="0"/>
          <w:i w:val="0"/>
          <w:color w:val="000000"/>
          <w:sz w:val="14"/>
        </w:rPr>
        <w:t>MOVABLE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IMMOVABLE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ASSETS </w:t>
      </w:r>
      <w:r>
        <w:rPr>
          <w:rFonts w:ascii="Times" w:hAnsi="Times" w:eastAsia="Times"/>
          <w:b w:val="0"/>
          <w:i w:val="0"/>
          <w:color w:val="000000"/>
          <w:sz w:val="14"/>
        </w:rPr>
        <w:t>FULLY</w:t>
      </w:r>
      <w:r>
        <w:rPr>
          <w:rFonts w:ascii="Times" w:hAnsi="Times" w:eastAsia="Times"/>
          <w:b w:val="0"/>
          <w:i w:val="0"/>
          <w:color w:val="000000"/>
          <w:sz w:val="14"/>
        </w:rPr>
        <w:t>OWNED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ASSIGNED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POSSESSED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VESTED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HELD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UTILISED 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PUBLIC</w:t>
      </w:r>
      <w:r>
        <w:rPr>
          <w:rFonts w:ascii="Times" w:hAnsi="Times" w:eastAsia="Times"/>
          <w:b w:val="0"/>
          <w:i w:val="0"/>
          <w:color w:val="000000"/>
          <w:sz w:val="14"/>
        </w:rPr>
        <w:t>INSTITUTION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UPDATE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14"/>
        </w:rPr>
        <w:t>REGISTER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PERIODICALLY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ENSURE</w:t>
      </w:r>
      <w:r>
        <w:rPr>
          <w:rFonts w:ascii="Times" w:hAnsi="Times" w:eastAsia="Times"/>
          <w:b w:val="0"/>
          <w:i w:val="0"/>
          <w:color w:val="000000"/>
          <w:sz w:val="14"/>
        </w:rPr>
        <w:t>PROPER</w:t>
      </w:r>
      <w:r>
        <w:rPr>
          <w:rFonts w:ascii="Times" w:hAnsi="Times" w:eastAsia="Times"/>
          <w:b w:val="0"/>
          <w:i w:val="0"/>
          <w:color w:val="000000"/>
          <w:sz w:val="14"/>
        </w:rPr>
        <w:t>RETURNS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SUCH</w:t>
      </w:r>
      <w:r>
        <w:rPr>
          <w:rFonts w:ascii="Times" w:hAnsi="Times" w:eastAsia="Times"/>
          <w:b w:val="0"/>
          <w:i w:val="0"/>
          <w:color w:val="000000"/>
          <w:sz w:val="14"/>
        </w:rPr>
        <w:t>ASSETS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UBLIC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NSTITUTIONS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0" w:lineRule="auto" w:before="276" w:after="216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Public Assets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Act, No.   of 2024.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(2). The provisions of this Act, other than subsection (2)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 8, shall come into operation on the date on which </w:t>
      </w:r>
      <w:r>
        <w:rPr>
          <w:rFonts w:ascii="Times" w:hAnsi="Times" w:eastAsia="Times"/>
          <w:b w:val="0"/>
          <w:i w:val="0"/>
          <w:color w:val="000000"/>
          <w:sz w:val="20"/>
        </w:rPr>
        <w:t>this Act is certified as an Act of Parliament.</w:t>
      </w:r>
    </w:p>
    <w:p>
      <w:pPr>
        <w:autoSpaceDN w:val="0"/>
        <w:tabs>
          <w:tab w:pos="1794" w:val="left"/>
          <w:tab w:pos="2034" w:val="left"/>
        </w:tabs>
        <w:autoSpaceDE w:val="0"/>
        <w:widowControl/>
        <w:spacing w:line="257" w:lineRule="auto" w:before="276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provisions of subsection (2) of section 8,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 into operation on such date as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appoint, having regard to the gradual completion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Assets Register,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 “appointed date”).</w:t>
      </w:r>
    </w:p>
    <w:p>
      <w:pPr>
        <w:autoSpaceDN w:val="0"/>
        <w:autoSpaceDE w:val="0"/>
        <w:widowControl/>
        <w:spacing w:line="238" w:lineRule="auto" w:before="276" w:after="0"/>
        <w:ind w:left="0" w:right="4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76" w:after="216"/>
        <w:ind w:left="19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EPARTMENT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OMPTROLLER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 shall be established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Department called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Department of Comptroller-General (hereinafter referred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“Department”).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Comptroller-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General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1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Comptroller-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shall be appointed a Comptroller-General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shall be the head of the Department (hereinafter referred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and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officers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“Comptroller-General”) and such other officers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employees as may be required from time to time to carry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the powers, duties and functions of the Department.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68" w:after="28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Comptroller-General may delegate in writing to </w:t>
      </w:r>
      <w:r>
        <w:rPr>
          <w:rFonts w:ascii="Times" w:hAnsi="Times" w:eastAsia="Times"/>
          <w:b w:val="0"/>
          <w:i w:val="0"/>
          <w:color w:val="000000"/>
          <w:sz w:val="20"/>
        </w:rPr>
        <w:t>the Head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Public Institution any of his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as may, from time to time, be considered </w:t>
      </w:r>
      <w:r>
        <w:rPr>
          <w:rFonts w:ascii="Times" w:hAnsi="Times" w:eastAsia="Times"/>
          <w:b w:val="0"/>
          <w:i w:val="0"/>
          <w:color w:val="000000"/>
          <w:sz w:val="20"/>
        </w:rPr>
        <w:t>necessary in relation to the Non-Financial Assets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respective Public Institution.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Department shall be to-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5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83" w:lineRule="auto" w:before="12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 an updated and comprehensive central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database to record the Non-Financial Assets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accordingly establish a National Assets Register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relevant details of the Non-Financial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Assets;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83" w:lineRule="auto" w:before="33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the Non-Financial Assets are utilised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managed by the Public Institutions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policies, guidelines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stipulated by the Government from time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time;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38" w:after="27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 guidance for the effective and efficient 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Non-Financial Assets to strengthen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framework of the Government;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the collection of revenue by the Public</w:t>
            </w:r>
          </w:p>
        </w:tc>
      </w:tr>
    </w:tbl>
    <w:p>
      <w:pPr>
        <w:autoSpaceDN w:val="0"/>
        <w:autoSpaceDE w:val="0"/>
        <w:widowControl/>
        <w:spacing w:line="259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 where Non-Financial Assets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disposed of by such Public Institutions.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3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896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62" w:lineRule="auto" w:before="264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powers, duties and functions of the Department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2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 and classify the Non-Financial Assets 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76" w:lineRule="auto" w:before="26" w:after="0"/>
        <w:ind w:left="14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relevant policies, guidelines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procedures stipulated by the Government,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6 of this Act;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6" w:after="26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 the details of the Non-Financial Assets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Public Institutions;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create and maintain a comprehensive central</w:t>
            </w:r>
          </w:p>
        </w:tc>
      </w:tr>
    </w:tbl>
    <w:p>
      <w:pPr>
        <w:autoSpaceDN w:val="0"/>
        <w:autoSpaceDE w:val="0"/>
        <w:widowControl/>
        <w:spacing w:line="276" w:lineRule="auto" w:before="12" w:after="26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database to record the Non-Financial Assets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containing the relevant details of such Assets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may, from time to time, identify by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notification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 of this Act;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update the central database from time to time as</w:t>
            </w:r>
          </w:p>
        </w:tc>
      </w:tr>
    </w:tbl>
    <w:p>
      <w:pPr>
        <w:autoSpaceDN w:val="0"/>
        <w:autoSpaceDE w:val="0"/>
        <w:widowControl/>
        <w:spacing w:line="262" w:lineRule="auto" w:before="26" w:after="26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rules made in that behalf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Comptroller-General;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compile the National Assets Register based on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of the central database referred to in</w:t>
            </w:r>
          </w:p>
        </w:tc>
      </w:tr>
    </w:tbl>
    <w:p>
      <w:pPr>
        <w:autoSpaceDN w:val="0"/>
        <w:autoSpaceDE w:val="0"/>
        <w:widowControl/>
        <w:spacing w:line="276" w:lineRule="auto" w:before="24" w:after="266"/>
        <w:ind w:left="251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this section and update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Register from time to time as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rules made in that behalf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Comptroller-General;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necessary steps in giving effect to matters set</w:t>
            </w:r>
          </w:p>
        </w:tc>
      </w:tr>
    </w:tbl>
    <w:p>
      <w:pPr>
        <w:autoSpaceDN w:val="0"/>
        <w:autoSpaceDE w:val="0"/>
        <w:widowControl/>
        <w:spacing w:line="276" w:lineRule="auto" w:before="16" w:after="0"/>
        <w:ind w:left="2518" w:right="24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sections 7, 12 and 13 and provide information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Public Institutions for the management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Non-Financial Assets;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</w:tr>
      <w:tr>
        <w:trPr>
          <w:trHeight w:hRule="exact" w:val="5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for the preparation of the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40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and directives issued under section 7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the valuation of Non-Financial Assets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manner specified in the Schedule to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for the preparation of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81" w:lineRule="auto" w:before="24" w:after="26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and directives to be issued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 in respect of the assessment of Non-Financial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at the time of release on lease or on rental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to another party by a Public Institution,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disposal through Government procedures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procedure stipulated by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the collection and reporting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revenue in respect of such Non-Financial Assets;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coordinate with the relevant Public Institutions in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process of recovery of the possession of the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62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Non-Financial Assets where information has been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that such assets are being acquired or 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other parties in an illegal manner;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coordinate with the relevant Public Institutions in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cases where it appears that the Non-Financial Assets</w:t>
            </w:r>
          </w:p>
        </w:tc>
      </w:tr>
    </w:tbl>
    <w:p>
      <w:pPr>
        <w:autoSpaceDN w:val="0"/>
        <w:autoSpaceDE w:val="0"/>
        <w:widowControl/>
        <w:spacing w:line="274" w:lineRule="auto" w:before="22" w:after="260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have not been properly utilised and identify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Institutions that can effectively use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for development activities, suggesting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suitable measures to be taken for the same;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 from the relevant Public Institutions copies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4" w:lineRule="exact" w:before="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maps, survey plans or any other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irrespective of its physical form or character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Non-Financial Assets required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performance of the duties of the Department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Act;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88" w:after="21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as the Revenue Accounting Officer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necessary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Minister may, from time to time, by Notification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identify and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identify and classify Non-Financial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classify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Assets with relevant details based on the recommendation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Secretary to the Treasury. Such recommendations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made in consultation with the Comptroller-General.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Treasury may, in consultation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Comptroller-General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Treasury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make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to the Minister in respect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issue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formulation of policies by the Cabinet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directives 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guidelines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directives and guidelines,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achieving the objectives of this Act.</w:t>
      </w:r>
    </w:p>
    <w:p>
      <w:pPr>
        <w:autoSpaceDN w:val="0"/>
        <w:tabs>
          <w:tab w:pos="3878" w:val="left"/>
        </w:tabs>
        <w:autoSpaceDE w:val="0"/>
        <w:widowControl/>
        <w:spacing w:line="238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276" w:after="216"/>
        <w:ind w:left="0" w:right="38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SSETS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EGISTER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Department shall prepare the National Assets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 in respect of all Public Institutions to reflect relevant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Assets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details of the Non-Financial Assets including the value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submitted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Non-Financial Assets in financial terms.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1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Parliament</w:t>
      </w:r>
    </w:p>
    <w:p>
      <w:pPr>
        <w:autoSpaceDN w:val="0"/>
        <w:autoSpaceDE w:val="0"/>
        <w:widowControl/>
        <w:spacing w:line="257" w:lineRule="auto" w:before="92" w:after="190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National Assets Register shall be updated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annually and a summary of the Register of the previous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year shall be submitted to the Parliament on or </w:t>
      </w:r>
      <w:r>
        <w:rPr>
          <w:rFonts w:ascii="Times" w:hAnsi="Times" w:eastAsia="Times"/>
          <w:b w:val="0"/>
          <w:i w:val="0"/>
          <w:color w:val="000000"/>
          <w:sz w:val="20"/>
        </w:rPr>
        <w:t>before the thirtieth day of June of the succeeding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Department shall report to the Cabinet of Ministers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 to the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required for the management of Non-Financial Assets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Cabinet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along with relevant information.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of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Department may require in writing, the Chief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Accounting Officer, Accounting Officer, Chairman or Chief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of any Public Institution as the case may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provide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be, to submit within such period as specified in such request,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information, document, clarification, report or material,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any Non-Financial Asset of the relevant Public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p>
      <w:pPr>
        <w:autoSpaceDN w:val="0"/>
        <w:autoSpaceDE w:val="0"/>
        <w:widowControl/>
        <w:spacing w:line="238" w:lineRule="auto" w:before="240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the Department requires such information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matter under subsection (1) of this section it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duty of such Chief Accounting Officer, Accounting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Chairman or Chief Executive Officer, as the case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to submit such information or other matter to the </w:t>
      </w:r>
      <w:r>
        <w:rPr>
          <w:rFonts w:ascii="Times" w:hAnsi="Times" w:eastAsia="Times"/>
          <w:b w:val="0"/>
          <w:i w:val="0"/>
          <w:color w:val="000000"/>
          <w:sz w:val="20"/>
        </w:rPr>
        <w:t>Department as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In the event where it is practically difficult to submit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information or other matter within the period specified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request under subsection (1) of this section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time is required to submit such information, the </w:t>
      </w:r>
      <w:r>
        <w:rPr>
          <w:rFonts w:ascii="Times" w:hAnsi="Times" w:eastAsia="Times"/>
          <w:b w:val="0"/>
          <w:i w:val="0"/>
          <w:color w:val="000000"/>
          <w:sz w:val="20"/>
        </w:rPr>
        <w:t>Department shall be informed immediately and a further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of not more than twenty-one working days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obtained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Chief Accounting Officer, Accounting Officer,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or Chief Executive Officer, as the case may be, </w:t>
      </w:r>
      <w:r>
        <w:rPr>
          <w:rFonts w:ascii="Times" w:hAnsi="Times" w:eastAsia="Times"/>
          <w:b w:val="0"/>
          <w:i w:val="0"/>
          <w:color w:val="000000"/>
          <w:sz w:val="20"/>
        </w:rPr>
        <w:t>who fails or refuses to submit such information, document,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clarification, report or material within the period stipulated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this section shall be liable to furnish an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explanation for not submitting such information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 as required to the Comptroller General within two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weeks from the expiration of such period. Such explanation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submitted shall be considered by a three member Appeals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appointed by the Secretary to the Treasury, </w:t>
      </w:r>
      <w:r>
        <w:rPr>
          <w:rFonts w:ascii="Times" w:hAnsi="Times" w:eastAsia="Times"/>
          <w:b w:val="0"/>
          <w:i w:val="0"/>
          <w:color w:val="000000"/>
          <w:sz w:val="20"/>
        </w:rPr>
        <w:t>which shall consist of a Deputy Secretary to the Treasury, a</w:t>
      </w:r>
    </w:p>
    <w:p>
      <w:pPr>
        <w:autoSpaceDN w:val="0"/>
        <w:autoSpaceDE w:val="0"/>
        <w:widowControl/>
        <w:spacing w:line="235" w:lineRule="auto" w:before="3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representative from the Department and a representative</w:t>
      </w:r>
    </w:p>
    <w:p>
      <w:pPr>
        <w:autoSpaceDN w:val="0"/>
        <w:autoSpaceDE w:val="0"/>
        <w:widowControl/>
        <w:spacing w:line="235" w:lineRule="auto" w:before="3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from a Ministry other than the line Ministry of such Chief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Accounting Officer, Accounting Officer, Chairman or Chief</w:t>
      </w:r>
    </w:p>
    <w:p>
      <w:pPr>
        <w:autoSpaceDN w:val="0"/>
        <w:tabs>
          <w:tab w:pos="1702" w:val="left"/>
        </w:tabs>
        <w:autoSpaceDE w:val="0"/>
        <w:widowControl/>
        <w:spacing w:line="240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35 </w:t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Officer, as the case may be, and the Appeals</w:t>
      </w:r>
    </w:p>
    <w:p>
      <w:pPr>
        <w:autoSpaceDN w:val="0"/>
        <w:autoSpaceDE w:val="0"/>
        <w:widowControl/>
        <w:spacing w:line="238" w:lineRule="auto" w:before="3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Committee may accept or reject such explanation.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7</w:t>
      </w:r>
    </w:p>
    <w:p>
      <w:pPr>
        <w:autoSpaceDN w:val="0"/>
        <w:tabs>
          <w:tab w:pos="1510" w:val="left"/>
          <w:tab w:pos="1798" w:val="left"/>
          <w:tab w:pos="2038" w:val="left"/>
        </w:tabs>
        <w:autoSpaceDE w:val="0"/>
        <w:widowControl/>
        <w:spacing w:line="254" w:lineRule="auto" w:before="484" w:after="0"/>
        <w:ind w:left="145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Chief Accounting Officer, Accounting Officer,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or Chief Executive Officer, as the case may be,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fails or refuses to furnish an explanation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(4) of this section or whose explanation was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rejected by the Appeals Committee referred to in subsection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of this section, commits an offence and shall upon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before a Magistrate, be liable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less than Rupees Ten Thousand and not 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Rupees One Hundred Thousand  to be paid personally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such officer.</w:t>
      </w:r>
    </w:p>
    <w:p>
      <w:pPr>
        <w:autoSpaceDN w:val="0"/>
        <w:autoSpaceDE w:val="0"/>
        <w:widowControl/>
        <w:spacing w:line="238" w:lineRule="auto" w:before="264" w:after="0"/>
        <w:ind w:left="0" w:right="4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64" w:after="204"/>
        <w:ind w:left="0" w:right="4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No civil or criminal proceedings shall be instituted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Secretary to the Treasury, Deputy Secretary to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action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Treasury, Comptroller-General, any employee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6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Department, members of the Appeals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or 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previously held such a position, for any act which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good faith is done or purported to be done by him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pursuant to and in the course of the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of the powers, duties and functions on behalf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Department, if he proves that he acted in good faith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exercised all due diligence, reasonable care and skill.</w:t>
      </w:r>
    </w:p>
    <w:p>
      <w:pPr>
        <w:autoSpaceDN w:val="0"/>
        <w:tabs>
          <w:tab w:pos="2038" w:val="left"/>
          <w:tab w:pos="6758" w:val="left"/>
        </w:tabs>
        <w:autoSpaceDE w:val="0"/>
        <w:widowControl/>
        <w:spacing w:line="247" w:lineRule="auto" w:before="266" w:after="8"/>
        <w:ind w:left="179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12.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Minister may, on the recommendations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 to the Treasury, make regulations in respect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matters required by this Act to be prescribed or in respect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regulations are necessary to be made in order to give</w:t>
            </w:r>
          </w:p>
        </w:tc>
      </w:tr>
    </w:tbl>
    <w:p>
      <w:pPr>
        <w:autoSpaceDN w:val="0"/>
        <w:autoSpaceDE w:val="0"/>
        <w:widowControl/>
        <w:spacing w:line="250" w:lineRule="auto" w:before="8" w:after="190"/>
        <w:ind w:left="179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to the objects of the Department and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Such recommendations shall be made in </w:t>
      </w:r>
      <w:r>
        <w:rPr>
          <w:rFonts w:ascii="Times" w:hAnsi="Times" w:eastAsia="Times"/>
          <w:b w:val="0"/>
          <w:i w:val="0"/>
          <w:color w:val="000000"/>
          <w:sz w:val="20"/>
        </w:rPr>
        <w:t>consultation with the Comptroller-General.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regulation made by the Minister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come into operation 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in such regulations.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3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Public Assets Management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86" w:lineRule="auto" w:before="508" w:after="0"/>
        <w:ind w:left="1396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by the Minister shall, as soon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convenient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brought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Parliament for its approval. Any regulation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so approved shall be deemed to be rescinded as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its disapproval, but without prejudice to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p>
      <w:pPr>
        <w:autoSpaceDN w:val="0"/>
        <w:tabs>
          <w:tab w:pos="1944" w:val="left"/>
        </w:tabs>
        <w:autoSpaceDE w:val="0"/>
        <w:widowControl/>
        <w:spacing w:line="264" w:lineRule="auto" w:before="336" w:after="278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rescinded,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Comptroller-General may, with the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Secretary to the Treasury, make rules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0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administration and management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Act.</w:t>
      </w:r>
    </w:p>
    <w:p>
      <w:pPr>
        <w:autoSpaceDN w:val="0"/>
        <w:tabs>
          <w:tab w:pos="1944" w:val="left"/>
        </w:tabs>
        <w:autoSpaceDE w:val="0"/>
        <w:widowControl/>
        <w:spacing w:line="264" w:lineRule="auto" w:before="336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rule made under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approved by the Minister.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81" w:lineRule="auto" w:before="318" w:after="278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rule so approved shall be published in the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come into operation upon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publication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Schedule to this Act may be amended or varied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 Order made by the Minister and published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</w:t>
            </w:r>
          </w:p>
        </w:tc>
      </w:tr>
    </w:tbl>
    <w:p>
      <w:pPr>
        <w:autoSpaceDN w:val="0"/>
        <w:autoSpaceDE w:val="0"/>
        <w:widowControl/>
        <w:spacing w:line="276" w:lineRule="auto" w:before="274" w:after="0"/>
        <w:ind w:left="1704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Order made under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of such publication or on such later </w:t>
      </w:r>
      <w:r>
        <w:rPr>
          <w:rFonts w:ascii="Times" w:hAnsi="Times" w:eastAsia="Times"/>
          <w:b w:val="0"/>
          <w:i w:val="0"/>
          <w:color w:val="000000"/>
          <w:sz w:val="20"/>
        </w:rPr>
        <w:t>date as may be specified in such Order.</w:t>
      </w:r>
    </w:p>
    <w:p>
      <w:pPr>
        <w:autoSpaceDN w:val="0"/>
        <w:autoSpaceDE w:val="0"/>
        <w:widowControl/>
        <w:spacing w:line="235" w:lineRule="auto" w:before="338" w:after="28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Every Order made under this section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8" w:after="0"/>
              <w:ind w:left="82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as soon as convenient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brought before Parliament for its approval.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281" w:lineRule="auto" w:before="508" w:after="276"/>
        <w:ind w:left="1798" w:right="240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such Order which is refused to be approved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shall be deemed to be revoked with effect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its refusal, but without prejudice to anything </w:t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office of the Comptroller-General established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3" w:lineRule="auto" w:before="2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pursuant to the Decision of the Cabinet of Ministers 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21, 2017 and presently attached to the Ministry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(hereinafter referred to as “Office”), shall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effect from the date of commencement of this Act stand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transferred to the Department.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6" w:lineRule="auto" w:before="33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Comptroller-General and all officers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in the employment of the Office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date of commencement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shall, with effect from the date of commencement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be deemed to be duly appointed Comptroller-General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 and employees of the Department.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33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activities carried out by the Office shall, with effect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commencement of this Act, be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shall continue to be carried out,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6" w:lineRule="auto" w:before="33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debts, obligations, assets and liabilities incurred,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contracts and agreements entered into and all matters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things engaged or agreed to be done by, with or for the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at the date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shall, with effect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Act, be deemed to be debts,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obligations, assets and liabilities incurred, contracts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entered into and all matters and things engaged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agreed to be done by, with or for, the Department.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3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Public Assets Management</w:t>
      </w:r>
    </w:p>
    <w:p>
      <w:pPr>
        <w:autoSpaceDN w:val="0"/>
        <w:autoSpaceDE w:val="0"/>
        <w:widowControl/>
        <w:spacing w:line="257" w:lineRule="auto" w:before="490" w:after="0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All property movable and immovable, belonging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Office on the day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this Act shall, with effect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Act, vest in the Department.</w:t>
      </w:r>
    </w:p>
    <w:p>
      <w:pPr>
        <w:autoSpaceDN w:val="0"/>
        <w:tabs>
          <w:tab w:pos="1410" w:val="left"/>
          <w:tab w:pos="1702" w:val="left"/>
          <w:tab w:pos="1942" w:val="left"/>
        </w:tabs>
        <w:autoSpaceDE w:val="0"/>
        <w:widowControl/>
        <w:spacing w:line="264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regulations, rules, guidelines and directives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Office and in force on the day 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of commencement of this Act, and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not inconsistent with the provisions of this Act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date of commencement of this Act,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regulations, rules, guidelines, directives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and may accordingly be amended, added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rescinded by regulations, rules, guidelines, directives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under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All suits, prosecutions, actions or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by or against the Office and which are pending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immediately preceding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shall, with effect from the date of commencement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be deemed to be suits, prosecutions, actions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instituted by or against the Department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may be continued accordingly.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All decrees, orders or awards entered or made in favour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or against the office by any court or tribunal or 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in any action or proceeding shall, with effect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Act, be deemed to be decrees,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orders or awards entered or made in favour of or against the </w:t>
      </w:r>
      <w:r>
        <w:rPr>
          <w:rFonts w:ascii="Times" w:hAnsi="Times" w:eastAsia="Times"/>
          <w:b w:val="0"/>
          <w:i w:val="0"/>
          <w:color w:val="000000"/>
          <w:sz w:val="20"/>
        </w:rPr>
        <w:t>Department and may be enforced accordingly.</w:t>
      </w:r>
    </w:p>
    <w:p>
      <w:pPr>
        <w:autoSpaceDN w:val="0"/>
        <w:tabs>
          <w:tab w:pos="6604" w:val="left"/>
        </w:tabs>
        <w:autoSpaceDE w:val="0"/>
        <w:widowControl/>
        <w:spacing w:line="238" w:lineRule="auto" w:before="278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Unless the context otherwise requires-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tabs>
          <w:tab w:pos="2302" w:val="left"/>
          <w:tab w:pos="2782" w:val="left"/>
        </w:tabs>
        <w:autoSpaceDE w:val="0"/>
        <w:widowControl/>
        <w:spacing w:line="262" w:lineRule="auto" w:before="282" w:after="0"/>
        <w:ind w:left="136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“Accounting Officer” means except where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arrangements are made by the Treasury,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 of a department in respect of all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transactions of such department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of Financial Regulations 125 (1);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62" w:lineRule="auto" w:before="496" w:after="238"/>
        <w:ind w:left="2876" w:right="240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“Chief Accounting Officer” unless otherwise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specifically provided in any other written law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a Ministry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to be the Chief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Accounting Officer of such Ministry;</w:t>
      </w:r>
    </w:p>
    <w:p>
      <w:pPr>
        <w:autoSpaceDN w:val="0"/>
        <w:tabs>
          <w:tab w:pos="3716" w:val="left"/>
          <w:tab w:pos="3736" w:val="left"/>
        </w:tabs>
        <w:autoSpaceDE w:val="0"/>
        <w:widowControl/>
        <w:spacing w:line="262" w:lineRule="auto" w:before="296" w:after="23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officer in charge of a department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Government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52 (7) of the Constitution;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officer in charge of any other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371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or entity not supervised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Secretary as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396" w:val="left"/>
          <w:tab w:pos="2876" w:val="left"/>
        </w:tabs>
        <w:autoSpaceDE w:val="0"/>
        <w:widowControl/>
        <w:spacing w:line="254" w:lineRule="auto" w:before="29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 revenue” includes revenue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disposal of Non-Financial Assets;</w:t>
      </w:r>
    </w:p>
    <w:p>
      <w:pPr>
        <w:autoSpaceDN w:val="0"/>
        <w:tabs>
          <w:tab w:pos="2396" w:val="left"/>
          <w:tab w:pos="2876" w:val="left"/>
        </w:tabs>
        <w:autoSpaceDE w:val="0"/>
        <w:widowControl/>
        <w:spacing w:line="269" w:lineRule="auto" w:before="29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“local authority” means any Municipal Council,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Urban Council, Pradeshiya Sabha and includes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authority created or established by or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 to exercise, perform and discharge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corresponding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to powers, duties and functions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exercised, performed and discharged by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Council or Sabha;</w:t>
      </w:r>
    </w:p>
    <w:p>
      <w:pPr>
        <w:autoSpaceDN w:val="0"/>
        <w:tabs>
          <w:tab w:pos="2396" w:val="left"/>
          <w:tab w:pos="2876" w:val="left"/>
        </w:tabs>
        <w:autoSpaceDE w:val="0"/>
        <w:widowControl/>
        <w:spacing w:line="262" w:lineRule="auto" w:before="29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in charge of the subject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Finance assigned under Article 44 or 45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Constitution;</w:t>
      </w:r>
    </w:p>
    <w:p>
      <w:pPr>
        <w:autoSpaceDN w:val="0"/>
        <w:autoSpaceDE w:val="0"/>
        <w:widowControl/>
        <w:spacing w:line="262" w:lineRule="auto" w:before="296" w:after="0"/>
        <w:ind w:left="2876" w:right="240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“Non-Financial Assets” includes any produced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non-produced   movable or immovable assets,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which are categorized as lands, buildings,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13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Public Assets Management</w:t>
      </w:r>
    </w:p>
    <w:p>
      <w:pPr>
        <w:autoSpaceDN w:val="0"/>
        <w:tabs>
          <w:tab w:pos="1390" w:val="left"/>
          <w:tab w:pos="2782" w:val="left"/>
        </w:tabs>
        <w:autoSpaceDE w:val="0"/>
        <w:widowControl/>
        <w:spacing w:line="271" w:lineRule="auto" w:before="49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structures, plant and machinery, vehicles,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equipment and furniture or declared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Non-Financial Assets by notification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under section 6 of this Act; and fully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owned, assigned, possessed, vested in, held,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utilised, leased,  rented or released on lease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rental basis to another party by a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 assets disposed of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procedures or relevant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stipulated by the Cabinet of Ministers;</w:t>
      </w:r>
    </w:p>
    <w:p>
      <w:pPr>
        <w:autoSpaceDN w:val="0"/>
        <w:autoSpaceDE w:val="0"/>
        <w:widowControl/>
        <w:spacing w:line="262" w:lineRule="auto" w:before="280" w:after="238"/>
        <w:ind w:left="2782" w:right="253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“Provincial Council” means a Provincial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 under Chapter XVIIA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6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Corporation” means any corporation,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 body which was or is established by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78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under any written law other than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Act, No. 7 of 2007 with funds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capital wholly or partly provided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by way of loan, grant or otherwise;</w:t>
      </w:r>
    </w:p>
    <w:p>
      <w:pPr>
        <w:autoSpaceDN w:val="0"/>
        <w:tabs>
          <w:tab w:pos="2302" w:val="left"/>
          <w:tab w:pos="2782" w:val="left"/>
        </w:tabs>
        <w:autoSpaceDE w:val="0"/>
        <w:widowControl/>
        <w:spacing w:line="258" w:lineRule="exact" w:before="298" w:after="0"/>
        <w:ind w:left="1352" w:right="244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Institution” includes Special Spending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Units, Ministries, Departments, District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Secretariats, Provincial Councils, Local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Public Corporations, business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undertakings vested in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any written law and companies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Companies Act, No. 07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2007, in which the government, a public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or a local authority holds 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shares of that</w:t>
      </w:r>
    </w:p>
    <w:p>
      <w:pPr>
        <w:autoSpaceDN w:val="0"/>
        <w:tabs>
          <w:tab w:pos="2782" w:val="left"/>
        </w:tabs>
        <w:autoSpaceDE w:val="0"/>
        <w:widowControl/>
        <w:spacing w:line="262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autoSpaceDN w:val="0"/>
        <w:autoSpaceDE w:val="0"/>
        <w:widowControl/>
        <w:spacing w:line="257" w:lineRule="auto" w:before="276" w:after="0"/>
        <w:ind w:left="2782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“Revenue Accounting Officer” means the officer who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Treasury indicate from time to time to be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323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Public Assets Management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13</w:t>
      </w:r>
    </w:p>
    <w:p>
      <w:pPr>
        <w:autoSpaceDN w:val="0"/>
        <w:autoSpaceDE w:val="0"/>
        <w:widowControl/>
        <w:spacing w:line="262" w:lineRule="auto" w:before="496" w:after="0"/>
        <w:ind w:left="287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responsible for the preparation of the Estimates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Revenue referred to in Financial Regulations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125 (2);</w:t>
      </w:r>
    </w:p>
    <w:p>
      <w:pPr>
        <w:autoSpaceDN w:val="0"/>
        <w:tabs>
          <w:tab w:pos="2398" w:val="left"/>
          <w:tab w:pos="2878" w:val="left"/>
        </w:tabs>
        <w:autoSpaceDE w:val="0"/>
        <w:widowControl/>
        <w:spacing w:line="262" w:lineRule="auto" w:before="298" w:after="18"/>
        <w:ind w:left="149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“Special Spending Unit” means an entity, other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Ministry, Department, District Secretariat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Provincial Council that has been given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0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Head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8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Appropriation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autoSpaceDN w:val="0"/>
        <w:autoSpaceDE w:val="0"/>
        <w:widowControl/>
        <w:spacing w:line="235" w:lineRule="auto" w:before="208" w:after="0"/>
        <w:ind w:left="0" w:right="470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SCHEDULE</w:t>
      </w:r>
    </w:p>
    <w:p>
      <w:pPr>
        <w:autoSpaceDN w:val="0"/>
        <w:autoSpaceDE w:val="0"/>
        <w:widowControl/>
        <w:spacing w:line="235" w:lineRule="auto" w:before="170" w:after="222"/>
        <w:ind w:left="0" w:right="2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 5)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6.0000000000002" w:type="dxa"/>
      </w:tblPr>
      <w:tblGrid>
        <w:gridCol w:w="3007"/>
        <w:gridCol w:w="3007"/>
        <w:gridCol w:w="3007"/>
      </w:tblGrid>
      <w:tr>
        <w:trPr>
          <w:trHeight w:hRule="exact" w:val="660"/>
        </w:trPr>
        <w:tc>
          <w:tcPr>
            <w:tcW w:type="dxa" w:w="310"/>
            <w:tcBorders>
              <w:start w:sz="15.359999656677246" w:val="single" w:color="#000000"/>
              <w:top w:sz="15.359999656677246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No.</w:t>
            </w:r>
          </w:p>
        </w:tc>
        <w:tc>
          <w:tcPr>
            <w:tcW w:type="dxa" w:w="1690"/>
            <w:tcBorders>
              <w:start w:sz="7.679999828338623" w:val="single" w:color="#000000"/>
              <w:top w:sz="15.359999656677246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34" w:after="0"/>
              <w:ind w:left="470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Type of Non-</w:t>
            </w:r>
            <w:r>
              <w:br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Financial Asset</w:t>
            </w:r>
          </w:p>
        </w:tc>
        <w:tc>
          <w:tcPr>
            <w:tcW w:type="dxa" w:w="2900"/>
            <w:tcBorders>
              <w:start w:sz="7.679999828338623" w:val="single" w:color="#000000"/>
              <w:top w:sz="15.359999656677246" w:val="single" w:color="#000000"/>
              <w:end w:sz="15.359999656677246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350" w:right="144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 xml:space="preserve">Time frequency of valuation of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such Asset</w:t>
            </w:r>
          </w:p>
        </w:tc>
      </w:tr>
      <w:tr>
        <w:trPr>
          <w:trHeight w:hRule="exact" w:val="58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Lands</w:t>
            </w:r>
          </w:p>
        </w:tc>
        <w:tc>
          <w:tcPr>
            <w:tcW w:type="dxa" w:w="2900"/>
            <w:vMerge w:val="restart"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auto" w:before="88" w:after="0"/>
              <w:ind w:left="110" w:right="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Once in every five years, as at 31st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December of the relevant year.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However, if there is any incident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causes a significant change in the value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these assets, value of such assets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31st December of that particular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be assessed. Revaluation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asset subjected to significant change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value, for practical reasons,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done as at 31st December of the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completes five years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 valuation or as at 31st December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year which completes five years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immediate previous valuation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 the case may be.</w:t>
            </w:r>
          </w:p>
        </w:tc>
      </w:tr>
      <w:tr>
        <w:trPr>
          <w:trHeight w:hRule="exact" w:val="51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Buildings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  <w:tr>
        <w:trPr>
          <w:trHeight w:hRule="exact" w:val="51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3.    Structures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  <w:tr>
        <w:trPr>
          <w:trHeight w:hRule="exact" w:val="748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88" w:lineRule="auto" w:before="200" w:after="0"/>
              <w:ind w:left="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Plant and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machinery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  <w:tr>
        <w:trPr>
          <w:trHeight w:hRule="exact" w:val="55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Vehicles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  <w:tr>
        <w:trPr>
          <w:trHeight w:hRule="exact" w:val="1340"/>
        </w:trPr>
        <w:tc>
          <w:tcPr>
            <w:tcW w:type="dxa" w:w="310"/>
            <w:tcBorders>
              <w:start w:sz="15.359999656677246" w:val="single" w:color="#000000"/>
              <w:top w:sz="7.679999828338623" w:val="single" w:color="#000000"/>
              <w:end w:sz="7.679999828338623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6.  </w:t>
            </w:r>
          </w:p>
        </w:tc>
        <w:tc>
          <w:tcPr>
            <w:tcW w:type="dxa" w:w="1690"/>
            <w:tcBorders>
              <w:start w:sz="7.679999828338623" w:val="single" w:color="#000000"/>
              <w:top w:sz="7.679999828338623" w:val="single" w:color="#000000"/>
              <w:end w:sz="7.679999828338623" w:val="single" w:color="#000000"/>
              <w:bottom w:sz="15.3599996566772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212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6.    Office equipment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furniture</w:t>
            </w:r>
          </w:p>
        </w:tc>
        <w:tc>
          <w:tcPr>
            <w:tcW w:type="dxa" w:w="3007"/>
            <w:vMerge/>
            <w:tcBorders>
              <w:start w:sz="7.679999828338623" w:val="single" w:color="#000000"/>
              <w:top w:sz="7.679999828338623" w:val="single" w:color="#000000"/>
              <w:end w:sz="15.359999656677246" w:val="single" w:color="#000000"/>
              <w:bottom w:sz="15.359999656677246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686"/>
        </w:trPr>
        <w:tc>
          <w:tcPr>
            <w:tcW w:type="dxa" w:w="115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5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509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Public Assets Management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