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84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06" w:after="0"/>
        <w:ind w:left="0" w:right="314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August 02, 2024</w:t>
      </w:r>
    </w:p>
    <w:p>
      <w:pPr>
        <w:autoSpaceDN w:val="0"/>
        <w:autoSpaceDE w:val="0"/>
        <w:widowControl/>
        <w:spacing w:line="238" w:lineRule="auto" w:before="216" w:after="0"/>
        <w:ind w:left="0" w:right="362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16" w:after="0"/>
        <w:ind w:left="0" w:right="337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06.08.2024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0" w:after="0"/>
        <w:ind w:left="0" w:right="38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0" w:after="0"/>
        <w:ind w:left="0" w:right="278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COMPANIES (AMENDMENT)</w:t>
      </w:r>
    </w:p>
    <w:p>
      <w:pPr>
        <w:autoSpaceDN w:val="0"/>
        <w:autoSpaceDE w:val="0"/>
        <w:widowControl/>
        <w:spacing w:line="235" w:lineRule="auto" w:before="44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424" w:after="0"/>
        <w:ind w:left="0" w:right="0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Companies Act, No. 07 of 2007</w:t>
      </w:r>
    </w:p>
    <w:p>
      <w:pPr>
        <w:autoSpaceDN w:val="0"/>
        <w:autoSpaceDE w:val="0"/>
        <w:widowControl/>
        <w:spacing w:line="235" w:lineRule="auto" w:before="384" w:after="0"/>
        <w:ind w:left="0" w:right="227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Minister of  Industries</w:t>
      </w:r>
    </w:p>
    <w:p>
      <w:pPr>
        <w:autoSpaceDN w:val="0"/>
        <w:autoSpaceDE w:val="0"/>
        <w:widowControl/>
        <w:spacing w:line="238" w:lineRule="auto" w:before="56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18" w:val="left"/>
        </w:tabs>
        <w:autoSpaceDE w:val="0"/>
        <w:widowControl/>
        <w:spacing w:line="238" w:lineRule="auto" w:before="17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54.00 </w:t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94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20" w:lineRule="exact" w:before="260" w:after="0"/>
        <w:ind w:left="159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FFFFFF"/>
          <w:sz w:val="24"/>
        </w:rPr>
        <w:t>2-2</w:t>
      </w:r>
      <w:r>
        <w:rPr>
          <w:rFonts w:ascii="Times" w:hAnsi="Times" w:eastAsia="Times"/>
          <w:b w:val="0"/>
          <w:i w:val="0"/>
          <w:color w:val="FFFFFF"/>
          <w:sz w:val="24"/>
        </w:rPr>
        <w:t>d</w:t>
      </w:r>
    </w:p>
    <w:p>
      <w:pPr>
        <w:sectPr>
          <w:pgSz w:w="11900" w:h="16840"/>
          <w:pgMar w:top="1440" w:right="1440" w:bottom="141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732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28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 of the Companies Act, No. 07 of 2007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(hereinafter referred to as the “principal enactment”) and the legal effect of the section as </w:t>
      </w:r>
      <w:r>
        <w:rPr>
          <w:rFonts w:ascii="Times" w:hAnsi="Times" w:eastAsia="Times"/>
          <w:b w:val="0"/>
          <w:i w:val="0"/>
          <w:color w:val="000000"/>
          <w:sz w:val="16"/>
        </w:rPr>
        <w:t>amended is to incorporate a company with the single shareholder.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extend the time limits to notify the public in the case of </w:t>
      </w:r>
      <w:r>
        <w:rPr>
          <w:rFonts w:ascii="Times" w:hAnsi="Times" w:eastAsia="Times"/>
          <w:b w:val="0"/>
          <w:i w:val="0"/>
          <w:color w:val="000000"/>
          <w:sz w:val="16"/>
        </w:rPr>
        <w:t>change of its name.</w:t>
      </w:r>
    </w:p>
    <w:p>
      <w:pPr>
        <w:autoSpaceDN w:val="0"/>
        <w:tabs>
          <w:tab w:pos="1590" w:val="left"/>
        </w:tabs>
        <w:autoSpaceDE w:val="0"/>
        <w:widowControl/>
        <w:spacing w:line="245" w:lineRule="auto" w:before="202" w:after="0"/>
        <w:ind w:left="1350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19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the section as amended is to rectify a numbering error in subsection (2).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51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prohibit the issuance of  a share warrant to the bearer or </w:t>
      </w:r>
      <w:r>
        <w:rPr>
          <w:rFonts w:ascii="Times" w:hAnsi="Times" w:eastAsia="Times"/>
          <w:b w:val="0"/>
          <w:i w:val="0"/>
          <w:color w:val="000000"/>
          <w:sz w:val="16"/>
        </w:rPr>
        <w:t>bearer share.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52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amend the provisions relating to the time limits relating to </w:t>
      </w:r>
      <w:r>
        <w:rPr>
          <w:rFonts w:ascii="Times" w:hAnsi="Times" w:eastAsia="Times"/>
          <w:b w:val="0"/>
          <w:i w:val="0"/>
          <w:color w:val="000000"/>
          <w:sz w:val="16"/>
        </w:rPr>
        <w:t>allotment of shares.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 :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This clause inserts a new Division in the principal enactment which contains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provisions relating to ‘beneficial ownership’ of shares of a company including </w:t>
      </w:r>
      <w:r>
        <w:rPr>
          <w:rFonts w:ascii="Times" w:hAnsi="Times" w:eastAsia="Times"/>
          <w:b w:val="0"/>
          <w:i w:val="0"/>
          <w:color w:val="000000"/>
          <w:sz w:val="16"/>
        </w:rPr>
        <w:t>provisions -</w:t>
      </w:r>
    </w:p>
    <w:p>
      <w:pPr>
        <w:autoSpaceDN w:val="0"/>
        <w:autoSpaceDE w:val="0"/>
        <w:widowControl/>
        <w:spacing w:line="247" w:lineRule="auto" w:before="202" w:after="0"/>
        <w:ind w:left="2190" w:right="1430" w:hanging="332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for disclosing of information on beneficial ownership of shares from a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shareholder and the Secretary or a director of a company and sharing such </w:t>
      </w:r>
      <w:r>
        <w:rPr>
          <w:rFonts w:ascii="Times" w:hAnsi="Times" w:eastAsia="Times"/>
          <w:b w:val="0"/>
          <w:i w:val="0"/>
          <w:color w:val="000000"/>
          <w:sz w:val="16"/>
        </w:rPr>
        <w:t>information with specified persons;</w:t>
      </w:r>
    </w:p>
    <w:p>
      <w:pPr>
        <w:autoSpaceDN w:val="0"/>
        <w:autoSpaceDE w:val="0"/>
        <w:widowControl/>
        <w:spacing w:line="245" w:lineRule="auto" w:before="202" w:after="0"/>
        <w:ind w:left="1728" w:right="129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for keeping and maintaining registers, by a company and the Registrar, </w:t>
      </w:r>
      <w:r>
        <w:rPr>
          <w:rFonts w:ascii="Times" w:hAnsi="Times" w:eastAsia="Times"/>
          <w:b w:val="0"/>
          <w:i w:val="0"/>
          <w:color w:val="000000"/>
          <w:sz w:val="16"/>
        </w:rPr>
        <w:t>containing information on beneficial ownership of shares of a company;</w:t>
      </w:r>
    </w:p>
    <w:p>
      <w:pPr>
        <w:autoSpaceDN w:val="0"/>
        <w:autoSpaceDE w:val="0"/>
        <w:widowControl/>
        <w:spacing w:line="238" w:lineRule="auto" w:before="202" w:after="0"/>
        <w:ind w:left="187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) for offences committed in relation to beneficial ownership of shares; and</w:t>
      </w:r>
    </w:p>
    <w:p>
      <w:pPr>
        <w:autoSpaceDN w:val="0"/>
        <w:autoSpaceDE w:val="0"/>
        <w:widowControl/>
        <w:spacing w:line="238" w:lineRule="auto" w:before="202" w:after="0"/>
        <w:ind w:left="18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) for new interpretations on the’ beneficial owner’ and ‘effective control’.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206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re-set the procedure for removal of directors of a </w:t>
      </w:r>
      <w:r>
        <w:rPr>
          <w:rFonts w:ascii="Times" w:hAnsi="Times" w:eastAsia="Times"/>
          <w:b w:val="0"/>
          <w:i w:val="0"/>
          <w:color w:val="000000"/>
          <w:sz w:val="16"/>
        </w:rPr>
        <w:t>company.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211 of the 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revise the period of validity of a resolution passed in </w:t>
      </w:r>
      <w:r>
        <w:rPr>
          <w:rFonts w:ascii="Times" w:hAnsi="Times" w:eastAsia="Times"/>
          <w:b w:val="0"/>
          <w:i w:val="0"/>
          <w:color w:val="000000"/>
          <w:sz w:val="16"/>
        </w:rPr>
        <w:t>respect of an appointment of a director over age of seventy years.</w:t>
      </w:r>
    </w:p>
    <w:p>
      <w:pPr>
        <w:autoSpaceDN w:val="0"/>
        <w:autoSpaceDE w:val="0"/>
        <w:widowControl/>
        <w:spacing w:line="247" w:lineRule="auto" w:before="202" w:after="0"/>
        <w:ind w:left="1350" w:right="1430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341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cast a liability upon a liquidator who fails to submit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the Registrar a copy of the accounts and a confirmation of a meeting held in relation to </w:t>
      </w:r>
      <w:r>
        <w:rPr>
          <w:rFonts w:ascii="Times" w:hAnsi="Times" w:eastAsia="Times"/>
          <w:b w:val="0"/>
          <w:i w:val="0"/>
          <w:color w:val="000000"/>
          <w:sz w:val="16"/>
        </w:rPr>
        <w:t>a dissolution of a company.</w:t>
      </w:r>
    </w:p>
    <w:p>
      <w:pPr>
        <w:autoSpaceDN w:val="0"/>
        <w:autoSpaceDE w:val="0"/>
        <w:widowControl/>
        <w:spacing w:line="247" w:lineRule="auto" w:before="202" w:after="0"/>
        <w:ind w:left="1350" w:right="1428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424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 extend the period of time  provided for an administrator </w:t>
      </w:r>
      <w:r>
        <w:rPr>
          <w:rFonts w:ascii="Times" w:hAnsi="Times" w:eastAsia="Times"/>
          <w:b w:val="0"/>
          <w:i w:val="0"/>
          <w:color w:val="000000"/>
          <w:sz w:val="16"/>
        </w:rPr>
        <w:t>to  submit to a creditors’ committee information required by such committee.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2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471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create new cadre in the Department of Registrar </w:t>
      </w:r>
      <w:r>
        <w:rPr>
          <w:rFonts w:ascii="Times" w:hAnsi="Times" w:eastAsia="Times"/>
          <w:b w:val="0"/>
          <w:i w:val="0"/>
          <w:color w:val="000000"/>
          <w:sz w:val="16"/>
        </w:rPr>
        <w:t>General of Companies.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472 of the principal enactment to rectify an </w:t>
      </w:r>
      <w:r>
        <w:rPr>
          <w:rFonts w:ascii="Times" w:hAnsi="Times" w:eastAsia="Times"/>
          <w:b w:val="0"/>
          <w:i w:val="0"/>
          <w:color w:val="000000"/>
          <w:sz w:val="16"/>
        </w:rPr>
        <w:t>error in the Sinhala version of the principal enactment.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a new section 484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new section is to empower the Registrar to grant extension of time period </w:t>
      </w:r>
      <w:r>
        <w:rPr>
          <w:rFonts w:ascii="Times" w:hAnsi="Times" w:eastAsia="Times"/>
          <w:b w:val="0"/>
          <w:i w:val="0"/>
          <w:color w:val="000000"/>
          <w:sz w:val="16"/>
        </w:rPr>
        <w:t>to a company for furnishing of certain documents and information.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487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provide an opportunity to a company, name of which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has been struck off, to re-register such company and to retrieve its property vested in the </w:t>
      </w:r>
      <w:r>
        <w:rPr>
          <w:rFonts w:ascii="Times" w:hAnsi="Times" w:eastAsia="Times"/>
          <w:b w:val="0"/>
          <w:i w:val="0"/>
          <w:color w:val="000000"/>
          <w:sz w:val="16"/>
        </w:rPr>
        <w:t>State.</w:t>
      </w:r>
    </w:p>
    <w:p>
      <w:pPr>
        <w:autoSpaceDN w:val="0"/>
        <w:autoSpaceDE w:val="0"/>
        <w:widowControl/>
        <w:spacing w:line="247" w:lineRule="auto" w:before="202" w:after="0"/>
        <w:ind w:left="1438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16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508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the section as amended is to enable a party to make request to refer the dispute for </w:t>
      </w:r>
      <w:r>
        <w:rPr>
          <w:rFonts w:ascii="Times" w:hAnsi="Times" w:eastAsia="Times"/>
          <w:b w:val="0"/>
          <w:i w:val="0"/>
          <w:color w:val="000000"/>
          <w:sz w:val="16"/>
        </w:rPr>
        <w:t>mediation.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inserts a new section 513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the principal enactment and the </w:t>
      </w:r>
      <w:r>
        <w:rPr>
          <w:rFonts w:ascii="Times" w:hAnsi="Times" w:eastAsia="Times"/>
          <w:b w:val="0"/>
          <w:i w:val="0"/>
          <w:color w:val="000000"/>
          <w:sz w:val="16"/>
        </w:rPr>
        <w:t>legal effect of the new section is to provide for general penalties.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the definition of the expression ‘distribution’ in section </w:t>
      </w:r>
      <w:r>
        <w:rPr>
          <w:rFonts w:ascii="Times" w:hAnsi="Times" w:eastAsia="Times"/>
          <w:b w:val="0"/>
          <w:i w:val="0"/>
          <w:color w:val="000000"/>
          <w:sz w:val="16"/>
        </w:rPr>
        <w:t>529 of the principal enactment.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provides for special provisions relating to information on </w:t>
      </w:r>
      <w:r>
        <w:rPr>
          <w:rFonts w:ascii="Times" w:hAnsi="Times" w:eastAsia="Times"/>
          <w:b w:val="0"/>
          <w:i w:val="0"/>
          <w:color w:val="000000"/>
          <w:sz w:val="16"/>
        </w:rPr>
        <w:t>beneficial ownership of a company held on the appointed date.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20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cast a duty upon existing holders of any share warrant to bearer </w:t>
      </w:r>
      <w:r>
        <w:rPr>
          <w:rFonts w:ascii="Times" w:hAnsi="Times" w:eastAsia="Times"/>
          <w:b w:val="0"/>
          <w:i w:val="0"/>
          <w:color w:val="000000"/>
          <w:sz w:val="16"/>
        </w:rPr>
        <w:t>or bearer shares to disclose information relating to such bearer or bearer shares.</w:t>
      </w:r>
    </w:p>
    <w:p>
      <w:pPr>
        <w:autoSpaceDN w:val="0"/>
        <w:tabs>
          <w:tab w:pos="1678" w:val="left"/>
        </w:tabs>
        <w:autoSpaceDE w:val="0"/>
        <w:widowControl/>
        <w:spacing w:line="245" w:lineRule="auto" w:before="202" w:after="0"/>
        <w:ind w:left="1438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21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provides for a schedule to rectify the errors in Sinhala, Tamil </w:t>
      </w:r>
      <w:r>
        <w:rPr>
          <w:rFonts w:ascii="Times" w:hAnsi="Times" w:eastAsia="Times"/>
          <w:b w:val="0"/>
          <w:i w:val="0"/>
          <w:color w:val="000000"/>
          <w:sz w:val="16"/>
        </w:rPr>
        <w:t>and English versions of the principal enactment.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344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64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4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L.D.O- 61/2024</w:t>
      </w:r>
    </w:p>
    <w:p>
      <w:pPr>
        <w:autoSpaceDN w:val="0"/>
        <w:autoSpaceDE w:val="0"/>
        <w:widowControl/>
        <w:spacing w:line="235" w:lineRule="auto" w:before="326" w:after="0"/>
        <w:ind w:left="21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4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OMPANIES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07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2007</w:t>
      </w:r>
    </w:p>
    <w:p>
      <w:pPr>
        <w:autoSpaceDN w:val="0"/>
        <w:autoSpaceDE w:val="0"/>
        <w:widowControl/>
        <w:spacing w:line="262" w:lineRule="auto" w:before="326" w:after="266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Companies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(Amendment) Act, No.        of  2024.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date of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  <w:tr>
        <w:trPr>
          <w:trHeight w:hRule="exact" w:val="41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 The provisions of this Act other than the provisions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1" w:lineRule="auto" w:before="24" w:after="0"/>
        <w:ind w:left="179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section shall come into operation on such date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may appoint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>(hereinafter referred to as the “appointed date”).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71" w:lineRule="auto" w:before="326" w:after="266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provisions of this section shall come into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on which the Bill becomes an Act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 of the Companies Act, No. 07 of 2007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(hereinafter referred to as the “principal enactment”)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 No.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(2) thereof and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07 of 2007</w:t>
            </w:r>
          </w:p>
        </w:tc>
      </w:tr>
      <w:tr>
        <w:trPr>
          <w:trHeight w:hRule="exact" w:val="3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516" w:val="left"/>
        </w:tabs>
        <w:autoSpaceDE w:val="0"/>
        <w:widowControl/>
        <w:spacing w:line="262" w:lineRule="auto" w:before="264" w:after="266"/>
        <w:ind w:left="22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A company, other than a company limited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guarantee, may have a single shareholder, who may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4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72" w:after="0"/>
              <w:ind w:left="0" w:right="4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a natural person;</w:t>
            </w:r>
          </w:p>
        </w:tc>
      </w:tr>
      <w:tr>
        <w:trPr>
          <w:trHeight w:hRule="exact" w:val="540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be a body corporate; or</w:t>
            </w:r>
          </w:p>
        </w:tc>
      </w:tr>
      <w:tr>
        <w:trPr>
          <w:trHeight w:hRule="exact" w:val="436"/>
        </w:trPr>
        <w:tc>
          <w:tcPr>
            <w:tcW w:type="dxa" w:w="3007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the Secretary to the Treasury holding</w:t>
            </w:r>
          </w:p>
        </w:tc>
      </w:tr>
    </w:tbl>
    <w:p>
      <w:pPr>
        <w:autoSpaceDN w:val="0"/>
        <w:autoSpaceDE w:val="0"/>
        <w:widowControl/>
        <w:spacing w:line="262" w:lineRule="auto" w:before="20" w:after="0"/>
        <w:ind w:left="29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on behalf of the Government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Sri Lanka.”.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4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 by the substitution for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11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“ten working days”, of the words “twenty working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5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0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days”.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19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thereof, by re-numbering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19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as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248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652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02" w:val="left"/>
              </w:tabs>
              <w:autoSpaceDE w:val="0"/>
              <w:widowControl/>
              <w:spacing w:line="254" w:lineRule="auto" w:before="60" w:after="0"/>
              <w:ind w:left="862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51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2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subsection (1)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thereof, of the following new subsection: -</w:t>
      </w:r>
    </w:p>
    <w:p>
      <w:pPr>
        <w:autoSpaceDN w:val="0"/>
        <w:autoSpaceDE w:val="0"/>
        <w:widowControl/>
        <w:spacing w:line="259" w:lineRule="auto" w:before="292" w:after="0"/>
        <w:ind w:left="212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“(1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company shall not issue a share warrant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 to bearer or bearer share irrespective of whether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articles of association purport to authorise it to do so.</w:t>
      </w:r>
    </w:p>
    <w:p>
      <w:pPr>
        <w:autoSpaceDN w:val="0"/>
        <w:tabs>
          <w:tab w:pos="2422" w:val="left"/>
        </w:tabs>
        <w:autoSpaceDE w:val="0"/>
        <w:widowControl/>
        <w:spacing w:line="252" w:lineRule="auto" w:before="290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this subsection,-</w:t>
      </w:r>
    </w:p>
    <w:p>
      <w:pPr>
        <w:autoSpaceDN w:val="0"/>
        <w:tabs>
          <w:tab w:pos="2662" w:val="left"/>
          <w:tab w:pos="3142" w:val="left"/>
        </w:tabs>
        <w:autoSpaceDE w:val="0"/>
        <w:widowControl/>
        <w:spacing w:line="266" w:lineRule="auto" w:before="28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“share warrant to bearer” means a negotiable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 whose ownership is determined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possession of the issued physical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warrant certificate, and any other similar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warrant or instrument without traceability,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p>
      <w:pPr>
        <w:autoSpaceDN w:val="0"/>
        <w:tabs>
          <w:tab w:pos="3218" w:val="left"/>
          <w:tab w:pos="3622" w:val="left"/>
          <w:tab w:pos="4800" w:val="left"/>
          <w:tab w:pos="5672" w:val="left"/>
        </w:tabs>
        <w:autoSpaceDE w:val="0"/>
        <w:widowControl/>
        <w:spacing w:line="26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instrument that only confers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rights to subscribe for shares in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conditions, but not ownership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entitlement to ownership in shares,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unless and until the instrument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exercised or redeemed;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3718" w:val="left"/>
        </w:tabs>
        <w:autoSpaceDE w:val="0"/>
        <w:widowControl/>
        <w:spacing w:line="264" w:lineRule="auto" w:before="530" w:after="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dematerialised or registered form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warrant or any other instrument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whose owners can be identified;  and</w:t>
      </w:r>
    </w:p>
    <w:p>
      <w:pPr>
        <w:autoSpaceDN w:val="0"/>
        <w:tabs>
          <w:tab w:pos="1592" w:val="left"/>
          <w:tab w:pos="2758" w:val="left"/>
          <w:tab w:pos="3238" w:val="left"/>
        </w:tabs>
        <w:autoSpaceDE w:val="0"/>
        <w:widowControl/>
        <w:spacing w:line="274" w:lineRule="auto" w:before="302" w:after="242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“bearer share” means a negotiable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may contain the rights specified in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49 but whose ownership is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simple possession of a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physically issued share certificate, and any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similar instrument such as security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bearer named in section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110(1)(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)(iii), without traceability, but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does not include a dematerialised 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form of share certificate whose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 can be identified.”.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6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(i)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</w:t>
            </w:r>
          </w:p>
        </w:tc>
      </w:tr>
    </w:tbl>
    <w:p>
      <w:pPr>
        <w:autoSpaceDN w:val="0"/>
        <w:autoSpaceDE w:val="0"/>
        <w:widowControl/>
        <w:spacing w:line="264" w:lineRule="auto" w:before="12" w:after="24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thereof by the substitution for the words “shares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issued;”, of the words “shares issued and names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persons to whom such shares are issued;”.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52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52</w:t>
            </w:r>
          </w:p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(3) thereof, and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64" w:lineRule="auto" w:before="86" w:after="0"/>
        <w:ind w:left="22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Upon receipt of the consideration,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make an allotment of the shares within twenty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working days of the receipt of such consideration:</w:t>
      </w:r>
    </w:p>
    <w:p>
      <w:pPr>
        <w:autoSpaceDN w:val="0"/>
        <w:tabs>
          <w:tab w:pos="2276" w:val="left"/>
          <w:tab w:pos="2758" w:val="left"/>
        </w:tabs>
        <w:autoSpaceDE w:val="0"/>
        <w:widowControl/>
        <w:spacing w:line="274" w:lineRule="auto" w:before="29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however, that the period of time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this subsection shall not apply in respect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issuance of shares which are fully paid up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reserves of the company to all shareholders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same class in proportion to the number of shares held</w:t>
      </w:r>
    </w:p>
    <w:p>
      <w:pPr>
        <w:autoSpaceDN w:val="0"/>
        <w:tabs>
          <w:tab w:pos="2276" w:val="left"/>
        </w:tabs>
        <w:autoSpaceDE w:val="0"/>
        <w:widowControl/>
        <w:spacing w:line="281" w:lineRule="auto" w:before="34" w:after="0"/>
        <w:ind w:left="14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each shareholder.”.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division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130 (SHARE REGISTER) of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division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principal enactment and shall have effect as a new division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that enactment: -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13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ENEFICIAL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WNERSHIP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Details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beneficial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ownership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company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30" w:after="0"/>
              <w:ind w:left="8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Subject to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subsection (10), every company incorporated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registered under this Act or any former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42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Registrar.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0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law relating to companies (under this heading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referred to as the “company”) shall, at the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incorporation or within twenty working days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2" w:after="21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issue of any shares or transfer of shares,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give notice to the Registrar in the prescribed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form of-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full names and previous full</w:t>
            </w:r>
          </w:p>
        </w:tc>
      </w:tr>
    </w:tbl>
    <w:p>
      <w:pPr>
        <w:autoSpaceDN w:val="0"/>
        <w:autoSpaceDE w:val="0"/>
        <w:widowControl/>
        <w:spacing w:line="238" w:lineRule="auto" w:before="4" w:after="12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names (if any) as appearing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identification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document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</w:tbl>
    <w:p>
      <w:pPr>
        <w:autoSpaceDN w:val="0"/>
        <w:autoSpaceDE w:val="0"/>
        <w:widowControl/>
        <w:spacing w:line="238" w:lineRule="auto" w:before="12" w:after="216"/>
        <w:ind w:left="0" w:right="25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beneficial owners of the 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dates and places of birth,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nationalities, countries of residence,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3600" w:right="244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last known addresses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beneficial owners of the company;</w:t>
      </w:r>
    </w:p>
    <w:p>
      <w:pPr>
        <w:autoSpaceDN w:val="0"/>
        <w:tabs>
          <w:tab w:pos="3234" w:val="left"/>
          <w:tab w:pos="362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residential addresses,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addresses, email addresses,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postal addresses of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company;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59" w:lineRule="auto" w:before="276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National Identity Card numbers,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Tax Identification Numbers,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Passport numbers and the countries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issuance, of beneficial owners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3716" w:val="left"/>
        </w:tabs>
        <w:autoSpaceDE w:val="0"/>
        <w:widowControl/>
        <w:spacing w:line="247" w:lineRule="auto" w:before="518" w:after="198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contact details of beneficial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 of the company;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full statement describing the nature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extent of the beneficial</w:t>
            </w:r>
          </w:p>
        </w:tc>
      </w:tr>
      <w:tr>
        <w:trPr>
          <w:trHeight w:hRule="exact" w:val="3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ownership.</w:t>
            </w:r>
          </w:p>
        </w:tc>
      </w:tr>
    </w:tbl>
    <w:p>
      <w:pPr>
        <w:autoSpaceDN w:val="0"/>
        <w:tabs>
          <w:tab w:pos="2876" w:val="left"/>
          <w:tab w:pos="3116" w:val="left"/>
        </w:tabs>
        <w:autoSpaceDE w:val="0"/>
        <w:widowControl/>
        <w:spacing w:line="254" w:lineRule="auto" w:before="194" w:after="0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shareholder shall, within ten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of the purchase of any shares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 of shares give the details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relating to beneficial ownership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to the company.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2" w:lineRule="auto" w:before="232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director or secretary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disclose the details referred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(1) relating to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 to the Registrar when 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becomes aware of such details.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0" w:lineRule="auto" w:before="24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company shall maintain a register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record the details specified in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when it becomes aware and the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keep such register of beneficial owners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subject to the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(3) of section 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its registered office.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7" w:lineRule="auto" w:before="258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provisions of section 124 relating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place of the share register of a company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mutatis mutandis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 to the register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beneficial owners of the company</w:t>
      </w:r>
      <w:r>
        <w:rPr>
          <w:rFonts w:ascii="Times,Bold" w:hAnsi="Times,Bold" w:eastAsia="Times,Bold"/>
          <w:b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64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(5)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company shall keep and maintain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records of the details of the beneficial owners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and the nature and extent of</w:t>
      </w:r>
    </w:p>
    <w:p>
      <w:pPr>
        <w:autoSpaceDN w:val="0"/>
        <w:tabs>
          <w:tab w:pos="2876" w:val="left"/>
        </w:tabs>
        <w:autoSpaceDE w:val="0"/>
        <w:widowControl/>
        <w:spacing w:line="262" w:lineRule="auto" w:before="36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beneficial ownership of the company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ten years after the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which the record was made.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1458" w:val="left"/>
          <w:tab w:pos="2782" w:val="left"/>
          <w:tab w:pos="3022" w:val="left"/>
        </w:tabs>
        <w:autoSpaceDE w:val="0"/>
        <w:widowControl/>
        <w:spacing w:line="269" w:lineRule="auto" w:before="494" w:after="0"/>
        <w:ind w:left="1352" w:right="2448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administrator or liquidator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under dissolution and any other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involved in the dissolution of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shall keep and maintain records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the beneficial owners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and the nature and extent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of the company for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at least five years after the date 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company is dissolved or otherwise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ceases to exist.</w:t>
      </w:r>
    </w:p>
    <w:p>
      <w:pPr>
        <w:autoSpaceDN w:val="0"/>
        <w:autoSpaceDE w:val="0"/>
        <w:widowControl/>
        <w:spacing w:line="262" w:lineRule="auto" w:before="296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Registrar shall maintain a register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record the details specified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 company shall, within fourteen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upon the receipt of details that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holds, acquires, or effects a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change of beneficial ownership of a company,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 the Registrar of such details specified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Every company shall, subject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(7) deliver the details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beneficial owners of the company in a form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may be prescribed together with the annual </w:t>
      </w:r>
      <w:r>
        <w:rPr>
          <w:rFonts w:ascii="Times" w:hAnsi="Times" w:eastAsia="Times"/>
          <w:b w:val="0"/>
          <w:i w:val="0"/>
          <w:color w:val="000000"/>
          <w:sz w:val="20"/>
        </w:rPr>
        <w:t>return under section 131.</w:t>
      </w:r>
    </w:p>
    <w:p>
      <w:pPr>
        <w:autoSpaceDN w:val="0"/>
        <w:tabs>
          <w:tab w:pos="2782" w:val="left"/>
          <w:tab w:pos="2784" w:val="left"/>
          <w:tab w:pos="3022" w:val="left"/>
        </w:tabs>
        <w:autoSpaceDE w:val="0"/>
        <w:widowControl/>
        <w:spacing w:line="266" w:lineRule="auto" w:before="29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The provisions of section 181 relating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power to require information as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interested in shares or debentures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to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company.</w:t>
      </w:r>
    </w:p>
    <w:p>
      <w:pPr>
        <w:autoSpaceDN w:val="0"/>
        <w:tabs>
          <w:tab w:pos="2782" w:val="left"/>
          <w:tab w:pos="3024" w:val="left"/>
        </w:tabs>
        <w:autoSpaceDE w:val="0"/>
        <w:widowControl/>
        <w:spacing w:line="264" w:lineRule="auto" w:before="28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(10) The provisions of sections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130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apply to an offshore company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64" w:lineRule="auto" w:before="49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incorporated outside Sri Lanka and registered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 or, an overseas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this Act where such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is required to comply with the beneficial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3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registration in the country where 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incorporated.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66" w:lineRule="auto" w:before="296" w:after="236"/>
        <w:ind w:left="146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In this section, the expression “former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relating to companies” means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written law repealed by the Companies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Ordinance (Chapter 145) or the Companies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17 of 1982 or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0.0" w:type="dxa"/>
      </w:tblPr>
      <w:tblGrid>
        <w:gridCol w:w="4510"/>
        <w:gridCol w:w="4510"/>
      </w:tblGrid>
      <w:tr>
        <w:trPr>
          <w:trHeight w:hRule="exact" w:val="566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Details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furnished.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96" w:right="1152" w:firstLine="242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B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 company or the Registrar shall, upon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request made by the Attorney-General,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7" w:lineRule="auto" w:before="1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Financial Intelligence Unit established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Financial Transactions Reporting Act, No.</w:t>
      </w:r>
    </w:p>
    <w:p>
      <w:pPr>
        <w:autoSpaceDN w:val="0"/>
        <w:tabs>
          <w:tab w:pos="2876" w:val="left"/>
          <w:tab w:pos="4298" w:val="left"/>
          <w:tab w:pos="4704" w:val="left"/>
          <w:tab w:pos="5998" w:val="left"/>
        </w:tabs>
        <w:autoSpaceDE w:val="0"/>
        <w:widowControl/>
        <w:spacing w:line="269" w:lineRule="auto" w:before="34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6 of 2006, Director-General of Customs,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Commissioner-General of Inland Revenue,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public authority having the responsibility for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laundering, terrorist financing or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criminal offences, public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or regulatory authorities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the details of the beneficial owners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held or submitted under 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C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shall appoint a natural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residing in Sri Lanka as the authorized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safe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is –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keeping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6"/>
        <w:ind w:left="18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available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responsible for the safe keeping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register of the beneficial owners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6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the company;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3622" w:val="left"/>
        </w:tabs>
        <w:autoSpaceDE w:val="0"/>
        <w:widowControl/>
        <w:spacing w:line="269" w:lineRule="auto" w:before="498" w:after="4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by the company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the beneficial owners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 recorded in terms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available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10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Financial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Intelligence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Unit</w:t>
            </w:r>
          </w:p>
        </w:tc>
      </w:tr>
    </w:tbl>
    <w:p>
      <w:pPr>
        <w:autoSpaceDN w:val="0"/>
        <w:autoSpaceDE w:val="0"/>
        <w:widowControl/>
        <w:spacing w:line="264" w:lineRule="auto" w:before="20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the Financial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Transactions Reporting Act, No. 6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2006 or any competent authority.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310" w:after="25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company shall disclose the details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authorised person at the time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incorporation and any subsequent changes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authorised person in a form as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prescribed.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 for</w:t>
            </w:r>
          </w:p>
        </w:tc>
        <w:tc>
          <w:tcPr>
            <w:tcW w:type="dxa" w:w="5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D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details of the beneficial owners</w:t>
            </w:r>
          </w:p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company shall, upon a request for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71" w:lineRule="auto" w:before="22" w:after="25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inspection by a member of the public,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available by the Registrar whether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electronically or physically, but the details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beneficial owners of the company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limited to their full names and the nature and </w:t>
      </w:r>
      <w:r>
        <w:rPr>
          <w:rFonts w:ascii="Times" w:hAnsi="Times" w:eastAsia="Times"/>
          <w:b w:val="0"/>
          <w:i w:val="0"/>
          <w:color w:val="000000"/>
          <w:sz w:val="20"/>
        </w:rPr>
        <w:t>extent of beneficial ownership of the 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62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8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Failing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keep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maintain a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57" w:lineRule="auto" w:before="60" w:after="0"/>
              <w:ind w:left="182" w:right="1152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E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If the Registrar has reasonable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grounds to believe that a company-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17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register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beneficial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has failed or fails to keep and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 of the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maintain a register of beneficial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 of the company referred to</w:t>
            </w:r>
          </w:p>
        </w:tc>
      </w:tr>
    </w:tbl>
    <w:p>
      <w:pPr>
        <w:autoSpaceDN w:val="0"/>
        <w:autoSpaceDE w:val="0"/>
        <w:widowControl/>
        <w:spacing w:line="238" w:lineRule="auto" w:before="22" w:after="0"/>
        <w:ind w:left="0" w:right="38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 or</w:t>
      </w:r>
    </w:p>
    <w:p>
      <w:pPr>
        <w:autoSpaceDN w:val="0"/>
        <w:tabs>
          <w:tab w:pos="3218" w:val="left"/>
          <w:tab w:pos="3622" w:val="left"/>
        </w:tabs>
        <w:autoSpaceDE w:val="0"/>
        <w:widowControl/>
        <w:spacing w:line="264" w:lineRule="auto" w:before="308" w:after="0"/>
        <w:ind w:left="137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failed or fails to comply with 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time period referred to in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494" w:after="1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Registrar shall, in writing issue a directive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company instructing the company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comply with the provisions 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a period of seven working days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claim for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date of receiving the directive.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37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F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beneficial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contrary in any other written law, a claim to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ownership.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beneficial ownership of a company may not be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18" w:after="236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claimed or be recognized for any lawful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purpose, unless such beneficial ownership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disclosed and registered in the manner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this division.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Offences.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G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company which –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contravenes or fails to comply with</w:t>
            </w:r>
          </w:p>
        </w:tc>
      </w:tr>
      <w:tr>
        <w:trPr>
          <w:trHeight w:hRule="exact" w:val="28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(3), (4), (7) or (8) of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1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tabs>
          <w:tab w:pos="3312" w:val="left"/>
          <w:tab w:pos="3718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provides false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misleading details about a beneficial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 of the company or the nature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extent of the beneficial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ownership of the company;</w:t>
      </w:r>
    </w:p>
    <w:p>
      <w:pPr>
        <w:autoSpaceDN w:val="0"/>
        <w:tabs>
          <w:tab w:pos="3326" w:val="left"/>
          <w:tab w:pos="3718" w:val="left"/>
        </w:tabs>
        <w:autoSpaceDE w:val="0"/>
        <w:widowControl/>
        <w:spacing w:line="266" w:lineRule="auto" w:before="296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withholds details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 of the company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should be entered into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 referred to in subsection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; or</w:t>
      </w:r>
    </w:p>
    <w:p>
      <w:pPr>
        <w:autoSpaceDN w:val="0"/>
        <w:tabs>
          <w:tab w:pos="3716" w:val="left"/>
        </w:tabs>
        <w:autoSpaceDE w:val="0"/>
        <w:widowControl/>
        <w:spacing w:line="262" w:lineRule="auto" w:before="296" w:after="0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knowingly makes a false entry into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register referred to in subsection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496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guilty of an offence and be liable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conviction to a fine not exceeding one million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imprisonment of either description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ten years or to both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>such fine and imprisonment.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69" w:lineRule="auto" w:before="294" w:after="0"/>
        <w:ind w:left="1374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 offence under this section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committed, then every person who at the time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of the offence was a director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 officer of such company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committed that offence unless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proves that the offence was committed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without such person’s knowledge, or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exercised all due diligence to 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of such offence.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71" w:lineRule="auto" w:before="256" w:after="23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shareholder, secretary, or authorised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contravenes or fails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under subsection (2) of section </w:t>
      </w:r>
      <w:r>
        <w:rPr>
          <w:rFonts w:ascii="Times" w:hAnsi="Times" w:eastAsia="Times"/>
          <w:b w:val="0"/>
          <w:i w:val="0"/>
          <w:color w:val="000000"/>
          <w:sz w:val="20"/>
        </w:rPr>
        <w:t>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of section 130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130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respectively shall be guilty of an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liable on conviction to a fine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one million rupees or to imprisonment of either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period not exceeding ten years </w:t>
      </w:r>
      <w:r>
        <w:rPr>
          <w:rFonts w:ascii="Times" w:hAnsi="Times" w:eastAsia="Times"/>
          <w:b w:val="0"/>
          <w:i w:val="0"/>
          <w:color w:val="000000"/>
          <w:sz w:val="20"/>
        </w:rPr>
        <w:t>or to both such fine and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Regulations.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3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H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Minister may make regulations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respect of all or any of the following matters:-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maintenance of the register of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4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company;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4" w:after="0"/>
              <w:ind w:left="0" w:right="8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reporting of an acquisition of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beneficial ownership of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2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company; and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3716" w:val="left"/>
        </w:tabs>
        <w:autoSpaceDE w:val="0"/>
        <w:widowControl/>
        <w:spacing w:line="262" w:lineRule="auto" w:before="518" w:after="238"/>
        <w:ind w:left="33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obtaining details relating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company.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130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I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division-</w:t>
            </w:r>
          </w:p>
        </w:tc>
      </w:tr>
      <w:tr>
        <w:trPr>
          <w:trHeight w:hRule="exact" w:val="3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5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“beneficial owner” means a natural</w:t>
            </w:r>
          </w:p>
        </w:tc>
      </w:tr>
    </w:tbl>
    <w:p>
      <w:pPr>
        <w:autoSpaceDN w:val="0"/>
        <w:tabs>
          <w:tab w:pos="3958" w:val="left"/>
        </w:tabs>
        <w:autoSpaceDE w:val="0"/>
        <w:widowControl/>
        <w:spacing w:line="271" w:lineRule="auto" w:before="18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who ultimately owns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controls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more of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company, in whole or in part,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through, direct or indirect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ownership or control of shares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voting rights or other ownership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in that company, and also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a natural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exercises effective control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other means,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beneficial ownership is to be </w:t>
      </w:r>
      <w:r>
        <w:rPr>
          <w:rFonts w:ascii="Times" w:hAnsi="Times" w:eastAsia="Times"/>
          <w:b w:val="0"/>
          <w:i w:val="0"/>
          <w:color w:val="000000"/>
          <w:sz w:val="20"/>
        </w:rPr>
        <w:t>construed accordingly;</w:t>
      </w:r>
    </w:p>
    <w:p>
      <w:pPr>
        <w:autoSpaceDN w:val="0"/>
        <w:tabs>
          <w:tab w:pos="3478" w:val="left"/>
          <w:tab w:pos="3958" w:val="left"/>
        </w:tabs>
        <w:autoSpaceDE w:val="0"/>
        <w:widowControl/>
        <w:spacing w:line="271" w:lineRule="auto" w:before="296" w:after="236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“effective control” includes a situation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control is exercised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indirectly either through a chain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ownership or by 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removal of a director or by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means of indirect control,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as the ability to take strategic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decision that affects the 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company, its 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practices or general direction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company.”.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7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206 of the principal enactment is hereby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subsections (2) and (3) thereof and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206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 new subsections: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2182" w:val="left"/>
          <w:tab w:pos="2482" w:val="left"/>
        </w:tabs>
        <w:autoSpaceDE w:val="0"/>
        <w:widowControl/>
        <w:spacing w:line="266" w:lineRule="auto" w:before="49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Where a company intends to remove a director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appoint a new director in the place of the director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 removed, a special notice shall be given to all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shareholders of the company and it shall be the duty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secretary to the company to send a copy of the </w:t>
      </w:r>
      <w:r>
        <w:rPr>
          <w:rFonts w:ascii="Times" w:hAnsi="Times" w:eastAsia="Times"/>
          <w:b w:val="0"/>
          <w:i w:val="0"/>
          <w:color w:val="000000"/>
          <w:sz w:val="20"/>
        </w:rPr>
        <w:t>special notice to the director who is to be removed.</w:t>
      </w:r>
    </w:p>
    <w:p>
      <w:pPr>
        <w:autoSpaceDN w:val="0"/>
        <w:autoSpaceDE w:val="0"/>
        <w:widowControl/>
        <w:spacing w:line="262" w:lineRule="auto" w:before="34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Such a director shall be entitled to be heard at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 irrespective of whether or not such director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 shareholder of that company.</w:t>
      </w:r>
    </w:p>
    <w:p>
      <w:pPr>
        <w:autoSpaceDN w:val="0"/>
        <w:tabs>
          <w:tab w:pos="1378" w:val="left"/>
          <w:tab w:pos="2182" w:val="left"/>
          <w:tab w:pos="2482" w:val="left"/>
        </w:tabs>
        <w:autoSpaceDE w:val="0"/>
        <w:widowControl/>
        <w:spacing w:line="274" w:lineRule="auto" w:before="27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Upon the receipt of the special notice under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(2), the director concerned may, within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working days from the date of receipt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special notice make a representation to the company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writing requiring the company to notify each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shareholder of the company.</w:t>
      </w:r>
    </w:p>
    <w:p>
      <w:pPr>
        <w:autoSpaceDN w:val="0"/>
        <w:autoSpaceDE w:val="0"/>
        <w:widowControl/>
        <w:spacing w:line="264" w:lineRule="auto" w:before="292" w:after="0"/>
        <w:ind w:left="21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secretary to the company shall forthwith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send a copy of the representation to every shareholder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company. Where a copy of the representation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been sent due to negligence of the company or</w:t>
      </w:r>
    </w:p>
    <w:p>
      <w:pPr>
        <w:autoSpaceDN w:val="0"/>
        <w:tabs>
          <w:tab w:pos="2182" w:val="left"/>
        </w:tabs>
        <w:autoSpaceDE w:val="0"/>
        <w:widowControl/>
        <w:spacing w:line="266" w:lineRule="auto" w:before="3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the fact that the representation was received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after the expiry of a period specified therein,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the company shall read out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representation at the meeting, if such director so </w:t>
      </w:r>
      <w:r>
        <w:rPr>
          <w:rFonts w:ascii="Times" w:hAnsi="Times" w:eastAsia="Times"/>
          <w:b w:val="0"/>
          <w:i w:val="0"/>
          <w:color w:val="000000"/>
          <w:sz w:val="20"/>
        </w:rPr>
        <w:t>requires:</w:t>
      </w:r>
    </w:p>
    <w:p>
      <w:pPr>
        <w:autoSpaceDN w:val="0"/>
        <w:tabs>
          <w:tab w:pos="2182" w:val="left"/>
          <w:tab w:pos="2662" w:val="left"/>
        </w:tabs>
        <w:autoSpaceDE w:val="0"/>
        <w:widowControl/>
        <w:spacing w:line="271" w:lineRule="auto" w:before="290" w:after="0"/>
        <w:ind w:left="134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where the company is able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satisfy the court that the provisions of this section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abused by the director concerned in order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secure unnecessary publicity of a defamatory nature,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may seek an order of the court for costs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paid by such director, and to refrain from sending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representation to the shareholders or reading such </w:t>
      </w:r>
      <w:r>
        <w:rPr>
          <w:rFonts w:ascii="Times" w:hAnsi="Times" w:eastAsia="Times"/>
          <w:b w:val="0"/>
          <w:i w:val="0"/>
          <w:color w:val="000000"/>
          <w:sz w:val="20"/>
        </w:rPr>
        <w:t>representation at the meeting.”.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2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211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(1) thereof by the substitution for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211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“valid only for one year from his appointment.”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and figures, “valid till the next annual general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meeting subject to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(1) of 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8" w:after="23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133 of the Act.”.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4510"/>
        <w:gridCol w:w="4510"/>
      </w:tblGrid>
      <w:tr>
        <w:trPr>
          <w:trHeight w:hRule="exact" w:val="860"/>
        </w:trPr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918" w:right="4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341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(3)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6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341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tabs>
          <w:tab w:pos="2278" w:val="left"/>
          <w:tab w:pos="2578" w:val="left"/>
        </w:tabs>
        <w:autoSpaceDE w:val="0"/>
        <w:widowControl/>
        <w:spacing w:line="269" w:lineRule="auto" w:before="62" w:after="18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Within one week from the date of the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referred to in subsection (1), or where no such 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held on the same date, from the date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subsequent meeting, the liquidator shall send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a copy of the accounts and shall make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return to him confirming the fact of the holding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and of their dates, and where the copy is 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sent or the return is not made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this subsection, the liquidator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guilty of an offence and be liable on conviction  to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fine not exceeding fifty thousand rupees 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424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(2) thereof, by the substitution for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424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“it may reasonably require.”,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autoSpaceDN w:val="0"/>
        <w:autoSpaceDE w:val="0"/>
        <w:widowControl/>
        <w:spacing w:line="238" w:lineRule="auto" w:before="74" w:after="0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“it may reasonably require:</w:t>
      </w:r>
    </w:p>
    <w:p>
      <w:pPr>
        <w:autoSpaceDN w:val="0"/>
        <w:tabs>
          <w:tab w:pos="1452" w:val="left"/>
          <w:tab w:pos="2278" w:val="left"/>
          <w:tab w:pos="2758" w:val="left"/>
        </w:tabs>
        <w:autoSpaceDE w:val="0"/>
        <w:widowControl/>
        <w:spacing w:line="274" w:lineRule="auto" w:before="264" w:after="0"/>
        <w:ind w:left="14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an administrator 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unable to provide the required information within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time specified in the notice made under this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subsection, such administrator may forward 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to the Registrar setting out therein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 for such inability. Upon consideration of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 and reasons, the Registrar may extend,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autoSpaceDE w:val="0"/>
        <w:widowControl/>
        <w:spacing w:line="257" w:lineRule="auto" w:before="488" w:after="222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 to any terms and conditions if any, the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time specified for the providing of information.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 shall in writing communicate his decision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administrator and the creditors’ committee.”.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471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471 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insertion of a new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52" w:lineRule="auto" w:before="14" w:after="214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paragraph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by name or by office, to be or to act</w:t>
            </w:r>
          </w:p>
        </w:tc>
      </w:tr>
    </w:tbl>
    <w:p>
      <w:pPr>
        <w:autoSpaceDN w:val="0"/>
        <w:autoSpaceDE w:val="0"/>
        <w:widowControl/>
        <w:spacing w:line="252" w:lineRule="auto" w:before="1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Additional Registrars-General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Companies;”;</w:t>
      </w:r>
    </w:p>
    <w:p>
      <w:pPr>
        <w:autoSpaceDN w:val="0"/>
        <w:tabs>
          <w:tab w:pos="2018" w:val="left"/>
          <w:tab w:pos="2422" w:val="left"/>
          <w:tab w:pos="2424" w:val="left"/>
        </w:tabs>
        <w:autoSpaceDE w:val="0"/>
        <w:widowControl/>
        <w:spacing w:line="259" w:lineRule="auto" w:before="28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(2) thereof, by the substitution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and figure “subsection (1) as a Deputy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Registrar-General of Companies”, of the words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 “subsection (1) as an Additional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Registrar-General of Companies or a Deputy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Registrar-General of Companies”;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addition immediately after subsection (2)</w:t>
            </w:r>
          </w:p>
        </w:tc>
      </w:tr>
      <w:tr>
        <w:trPr>
          <w:trHeight w:hRule="exact" w:val="3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thereof, of the following: -</w:t>
            </w:r>
          </w:p>
        </w:tc>
      </w:tr>
    </w:tbl>
    <w:p>
      <w:pPr>
        <w:autoSpaceDN w:val="0"/>
        <w:tabs>
          <w:tab w:pos="2182" w:val="left"/>
          <w:tab w:pos="2482" w:val="left"/>
        </w:tabs>
        <w:autoSpaceDE w:val="0"/>
        <w:widowControl/>
        <w:spacing w:line="259" w:lineRule="auto" w:before="222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“(3) Any class or category of officers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 of the Registrar-General of Companies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paid incentive allowance in such manner and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rates, and shall be subject to such conditions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service, as may be prescribed in consultation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Minister in charge of the subject of Finance.”.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866"/>
        </w:trPr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60" w:after="0"/>
              <w:ind w:left="862" w:right="5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472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amended by the repeal of subsection (1) thereof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4" w:after="0"/>
              <w:ind w:left="7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section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472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47" w:lineRule="auto" w:before="476" w:after="4"/>
        <w:ind w:left="22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A person who is aggrieved by an act or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Registrar may appeal to the court within fifteen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working days after the date of receiving notice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 or decision or such further time as the court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5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allow.”.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40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484 of the principal enactment,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1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shall have effect as section 484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“Registrar’s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484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Where a company is unable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1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grant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extension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acts.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0" w:after="0"/>
              <w:ind w:left="76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furnish such information or produce any book,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register or other document before the date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specified in the notice under subsection (1)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484, such company may make an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 together with the reasons therefor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Registrar for an extension of such period.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consideration of the application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reasons, the Registrar may extend the time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subject to the terms and conditions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he may think fit to impose. The Registrar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 communicate his decision to the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5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company.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45" w:lineRule="auto" w:before="248" w:after="0"/>
        <w:ind w:left="145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company fails to comply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direction within the extended period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 under subsection (1)—</w:t>
      </w:r>
    </w:p>
    <w:p>
      <w:pPr>
        <w:autoSpaceDN w:val="0"/>
        <w:tabs>
          <w:tab w:pos="3716" w:val="left"/>
        </w:tabs>
        <w:autoSpaceDE w:val="0"/>
        <w:widowControl/>
        <w:spacing w:line="245" w:lineRule="auto" w:before="248" w:after="176"/>
        <w:ind w:left="33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company shall be guilty of an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and be liable on conviction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 fine not exceeding five hundred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officer of the company who is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 default shall be guilty of an</w:t>
      </w:r>
    </w:p>
    <w:p>
      <w:pPr>
        <w:autoSpaceDN w:val="0"/>
        <w:autoSpaceDE w:val="0"/>
        <w:widowControl/>
        <w:spacing w:line="235" w:lineRule="auto" w:before="3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offence and be liable on conviction</w:t>
      </w:r>
    </w:p>
    <w:p>
      <w:pPr>
        <w:autoSpaceDN w:val="0"/>
        <w:autoSpaceDE w:val="0"/>
        <w:widowControl/>
        <w:spacing w:line="235" w:lineRule="auto" w:before="3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a fine not exceeding two hundred</w:t>
      </w:r>
    </w:p>
    <w:p>
      <w:pPr>
        <w:autoSpaceDN w:val="0"/>
        <w:autoSpaceDE w:val="0"/>
        <w:widowControl/>
        <w:spacing w:line="238" w:lineRule="auto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thousand rupees.”.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9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30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487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in subsection (5) thereof by the substitution for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487 of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words “shall vest in and be at the disposal of the State.”,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4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10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“shall vest in and be at the disposal of the State: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182" w:val="left"/>
          <w:tab w:pos="2602" w:val="left"/>
        </w:tabs>
        <w:autoSpaceDE w:val="0"/>
        <w:widowControl/>
        <w:spacing w:line="262" w:lineRule="auto" w:before="218" w:after="14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Provided that any company of which, the name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struck off under subsection (3) may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expiry of a period of ten years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coming into operation of this amendment Act, apply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court making the Attorney General a party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and show cause to the satisfaction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stating reasons why such company was unable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comply with the provisions of subsection (1). After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3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inquiry as the court may deem necessary,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may permit the re-registration of the company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1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upon such registration make an order for the return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company of all property previously vested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State under this subsection:</w:t>
      </w:r>
    </w:p>
    <w:p>
      <w:pPr>
        <w:autoSpaceDN w:val="0"/>
        <w:tabs>
          <w:tab w:pos="2182" w:val="left"/>
          <w:tab w:pos="2602" w:val="left"/>
        </w:tabs>
        <w:autoSpaceDE w:val="0"/>
        <w:widowControl/>
        <w:spacing w:line="259" w:lineRule="auto" w:before="28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 where property vested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under the provisions of this subsection has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dealt with or disposed of, by the State, the rights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third parties who have acquired such rights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State in good faith shall not be affected in any </w:t>
      </w:r>
      <w:r>
        <w:rPr>
          <w:rFonts w:ascii="Times" w:hAnsi="Times" w:eastAsia="Times"/>
          <w:b w:val="0"/>
          <w:i w:val="0"/>
          <w:color w:val="000000"/>
          <w:sz w:val="20"/>
        </w:rPr>
        <w:t>manner:</w:t>
      </w:r>
    </w:p>
    <w:p>
      <w:pPr>
        <w:autoSpaceDN w:val="0"/>
        <w:tabs>
          <w:tab w:pos="2182" w:val="left"/>
          <w:tab w:pos="2602" w:val="left"/>
        </w:tabs>
        <w:autoSpaceDE w:val="0"/>
        <w:widowControl/>
        <w:spacing w:line="262" w:lineRule="auto" w:before="270" w:after="22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property has been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destroyed or damaged or, physical possession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has not been taken by the State, the State </w:t>
      </w:r>
      <w:r>
        <w:rPr>
          <w:rFonts w:ascii="Times" w:hAnsi="Times" w:eastAsia="Times"/>
          <w:b w:val="0"/>
          <w:i w:val="0"/>
          <w:color w:val="000000"/>
          <w:sz w:val="20"/>
        </w:rPr>
        <w:t>shall not be liable to any party in any manner.”.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508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 (1) thereof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508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therefor, of the following: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6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enactment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8" w:lineRule="auto" w:before="500" w:after="0"/>
        <w:ind w:left="0" w:right="46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“(1) A party to a dispute –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216"/>
        <w:ind w:left="259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arising in giving effect to the provisions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this Act;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8" w:after="0"/>
              <w:ind w:left="0" w:right="4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relates to the management of affairs of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company,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59" w:lineRule="auto" w:before="216" w:after="216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may request the Companies Disputes Board that the dispute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be referred to for mediation before a member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Disputes Board and the President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Companies Disputes Board may, if he deems appropriate,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 the same for mediation to any member of the Companies </w:t>
      </w:r>
      <w:r>
        <w:rPr>
          <w:rFonts w:ascii="Times" w:hAnsi="Times" w:eastAsia="Times"/>
          <w:b w:val="0"/>
          <w:i w:val="0"/>
          <w:color w:val="000000"/>
          <w:sz w:val="20"/>
        </w:rPr>
        <w:t>Disputes Board.”.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 is hereby inserted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513 of the principal enactment,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 513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632"/>
        </w:trPr>
        <w:tc>
          <w:tcPr>
            <w:tcW w:type="dxa" w:w="225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4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penalties.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0" w:after="0"/>
              <w:ind w:left="216" w:right="0" w:firstLine="378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513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14"/>
              </w:rPr>
              <w:t>A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A person, a director, a secretary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an officer who contravenes or fails to comply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2" w:after="12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any provisions of this Act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regulation made thereunder for which no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2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punishment is expressly provided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shall be guilty of an offence and be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7" w:lineRule="auto" w:before="12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to a fine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hundred thousand rupees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six months,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imprisonment.</w:t>
      </w:r>
    </w:p>
    <w:p>
      <w:pPr>
        <w:autoSpaceDN w:val="0"/>
        <w:autoSpaceDE w:val="0"/>
        <w:widowControl/>
        <w:spacing w:line="262" w:lineRule="auto" w:before="284" w:after="0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any provision of this Act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contravened or omitted or failed to comply with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 body of persons and where no punishment</w:t>
      </w:r>
    </w:p>
    <w:p>
      <w:pPr>
        <w:autoSpaceDN w:val="0"/>
        <w:tabs>
          <w:tab w:pos="2876" w:val="left"/>
        </w:tabs>
        <w:autoSpaceDE w:val="0"/>
        <w:widowControl/>
        <w:spacing w:line="257" w:lineRule="auto" w:before="3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expressly provided in this Act, if such body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persons –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p>
      <w:pPr>
        <w:autoSpaceDN w:val="0"/>
        <w:tabs>
          <w:tab w:pos="3622" w:val="left"/>
        </w:tabs>
        <w:autoSpaceDE w:val="0"/>
        <w:widowControl/>
        <w:spacing w:line="262" w:lineRule="auto" w:before="494" w:after="242"/>
        <w:ind w:left="32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is a body corporate, every director,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 or secretary of such body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corporate;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a firm, every partner of that firm;</w:t>
            </w:r>
          </w:p>
        </w:tc>
      </w:tr>
      <w:tr>
        <w:trPr>
          <w:trHeight w:hRule="exact" w:val="41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is an unincorporated body other</w:t>
            </w:r>
          </w:p>
        </w:tc>
      </w:tr>
    </w:tbl>
    <w:p>
      <w:pPr>
        <w:autoSpaceDN w:val="0"/>
        <w:autoSpaceDE w:val="0"/>
        <w:widowControl/>
        <w:spacing w:line="257" w:lineRule="auto" w:before="18" w:after="0"/>
        <w:ind w:left="36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than a firm, every member of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body,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30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have committed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shall, on conviction be liable to a fine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rupees five hundred thousand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imprisonment:</w:t>
      </w:r>
    </w:p>
    <w:p>
      <w:pPr>
        <w:autoSpaceDN w:val="0"/>
        <w:tabs>
          <w:tab w:pos="2782" w:val="left"/>
          <w:tab w:pos="3202" w:val="left"/>
        </w:tabs>
        <w:autoSpaceDE w:val="0"/>
        <w:widowControl/>
        <w:spacing w:line="266" w:lineRule="auto" w:before="302" w:after="2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that no such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deemed to be guilty an offence if 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proves that the offence was committed without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his knowledge or that he exercised all due </w:t>
      </w:r>
      <w:r>
        <w:rPr>
          <w:rFonts w:ascii="Times" w:hAnsi="Times" w:eastAsia="Times"/>
          <w:b w:val="0"/>
          <w:i w:val="0"/>
          <w:color w:val="000000"/>
          <w:sz w:val="20"/>
        </w:rPr>
        <w:t>diligence to prevent the commission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9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529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definition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529 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expression “distribution” and the substitution therefor,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52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538"/>
        </w:trPr>
        <w:tc>
          <w:tcPr>
            <w:tcW w:type="dxa" w:w="2255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 or indirect transfer of money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2" w:lineRule="auto" w:before="8" w:after="0"/>
        <w:ind w:left="290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property other than the shares of the company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capitalization of reserves of the company,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or for the benefit of a shareholder; or”.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4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19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Every company incorporated or registered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Companies Act, No. 07 of 2007 or any former written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 relating to companies and having beneficial owners 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reporting,</w:t>
            </w:r>
          </w:p>
        </w:tc>
      </w:tr>
      <w:tr>
        <w:trPr>
          <w:trHeight w:hRule="exact" w:val="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receiving,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appointed date shall, in the prescribed form and manner,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etc. of details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forward to the Registrar the details relating to beneficial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relating to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owners of that company in terms of section 130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six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beneficial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ownership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months of the appointed date.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company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held on the</w:t>
            </w:r>
          </w:p>
        </w:tc>
      </w:tr>
    </w:tbl>
    <w:p>
      <w:pPr>
        <w:autoSpaceDN w:val="0"/>
        <w:tabs>
          <w:tab w:pos="6726" w:val="left"/>
        </w:tabs>
        <w:autoSpaceDE w:val="0"/>
        <w:widowControl/>
        <w:spacing w:line="247" w:lineRule="auto" w:before="4" w:after="0"/>
        <w:ind w:left="2056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appointed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depositary of a licensed stock exchange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date</w:t>
      </w:r>
    </w:p>
    <w:p>
      <w:pPr>
        <w:autoSpaceDN w:val="0"/>
        <w:tabs>
          <w:tab w:pos="1816" w:val="left"/>
        </w:tabs>
        <w:autoSpaceDE w:val="0"/>
        <w:widowControl/>
        <w:spacing w:line="293" w:lineRule="auto" w:before="6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thirty days of the appointed date in the prescribed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and manner, be required to verify, report, record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notify the Registrar of the details of the shareholders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company who held ten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per cent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more of the issued shares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company on the appointed date.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93" w:lineRule="auto" w:before="3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company shall, within thirty days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date in the prescribed form and manner,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verify, report, record and notify the Registrar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details of beneficial owners of the company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date.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95" w:lineRule="auto" w:before="360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A company which contravenes or fails to comply 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provisions of this section shall be guilty of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be liable on conviction to a fine not exceeding 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of either description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not exceeding six months,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tabs>
          <w:tab w:pos="1816" w:val="left"/>
          <w:tab w:pos="2056" w:val="left"/>
        </w:tabs>
        <w:autoSpaceDE w:val="0"/>
        <w:widowControl/>
        <w:spacing w:line="283" w:lineRule="auto" w:before="36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In this section the expression “former written law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companies” means any written law repealed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Companies Ordinance (Chapter 145) or the Companies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 No. 17 of 1982 or Companies Act, No. 07 of 2007.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6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 the</w:t>
            </w:r>
          </w:p>
        </w:tc>
      </w:tr>
      <w:tr>
        <w:trPr>
          <w:trHeight w:hRule="exact" w:val="5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6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Every holder of any share warrants to bearer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bearer shares shall, within sixty days of the appointed date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holder of any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inform the issuing company of such fact and provide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</w:t>
            </w:r>
          </w:p>
        </w:tc>
      </w:tr>
      <w:tr>
        <w:trPr>
          <w:trHeight w:hRule="exact" w:val="20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company secretary in writing his name, address and other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warrants to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bearer and</w:t>
            </w:r>
          </w:p>
        </w:tc>
      </w:tr>
      <w:tr>
        <w:trPr>
          <w:trHeight w:hRule="exact" w:val="2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contact details.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bearer share</w:t>
            </w:r>
          </w:p>
        </w:tc>
      </w:tr>
    </w:tbl>
    <w:p>
      <w:pPr>
        <w:autoSpaceDN w:val="0"/>
        <w:tabs>
          <w:tab w:pos="1942" w:val="left"/>
        </w:tabs>
        <w:autoSpaceDE w:val="0"/>
        <w:widowControl/>
        <w:spacing w:line="271" w:lineRule="auto" w:before="296" w:after="0"/>
        <w:ind w:left="17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company shall, upon the receipt of details under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register such details forthwith.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3" w:lineRule="auto" w:before="360" w:after="0"/>
        <w:ind w:left="136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any holder of any share warrants to bearer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bearer shares fails to comply with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any rights associated with such share warrants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bearer or bearer shares shall stand nullified at the end of </w:t>
      </w:r>
      <w:r>
        <w:rPr>
          <w:rFonts w:ascii="Times" w:hAnsi="Times" w:eastAsia="Times"/>
          <w:b w:val="0"/>
          <w:i w:val="0"/>
          <w:color w:val="000000"/>
          <w:sz w:val="20"/>
        </w:rPr>
        <w:t>such period specified in that subsection.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95" w:lineRule="auto" w:before="360" w:after="308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Every holder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share warrants to bearer or bearer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shares shall, within sixty days from the appointed date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the nullification under subsection (3), convert such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share warrants to bearer or bearer shares to shares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registerable form for the purpose of the shareholder register </w:t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section 123(1).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sections of the principal enactment specified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 of the Schedule hereto, are hereby amended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certain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substitution for the words and figures specified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principal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corresponding entry in Column II, of the words and figures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278" w:lineRule="auto" w:before="38" w:after="32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specified in the corresponding entry in Column III of that </w:t>
      </w:r>
      <w:r>
        <w:rPr>
          <w:rFonts w:ascii="Times" w:hAnsi="Times" w:eastAsia="Times"/>
          <w:b w:val="0"/>
          <w:i w:val="0"/>
          <w:color w:val="221F1F"/>
          <w:sz w:val="20"/>
        </w:rPr>
        <w:t>Schedule.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7413F"/>
                <w:sz w:val="16"/>
              </w:rPr>
              <w:t>Sinhala text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7413F"/>
                <w:sz w:val="16"/>
              </w:rPr>
              <w:t>to Prevail in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37413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37413F"/>
          <w:sz w:val="16"/>
        </w:rPr>
        <w:t>inconsisteney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21</w:t>
      </w:r>
    </w:p>
    <w:p>
      <w:pPr>
        <w:autoSpaceDN w:val="0"/>
        <w:autoSpaceDE w:val="0"/>
        <w:widowControl/>
        <w:spacing w:line="238" w:lineRule="auto" w:before="512" w:after="0"/>
        <w:ind w:left="0" w:right="4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SCHEDULE</w:t>
      </w:r>
    </w:p>
    <w:p>
      <w:pPr>
        <w:autoSpaceDN w:val="0"/>
        <w:autoSpaceDE w:val="0"/>
        <w:widowControl/>
        <w:spacing w:line="238" w:lineRule="auto" w:before="44" w:after="128"/>
        <w:ind w:left="0" w:right="2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(section 21)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02.0" w:type="dxa"/>
      </w:tblPr>
      <w:tblGrid>
        <w:gridCol w:w="2255"/>
        <w:gridCol w:w="2255"/>
        <w:gridCol w:w="2255"/>
        <w:gridCol w:w="2255"/>
      </w:tblGrid>
      <w:tr>
        <w:trPr>
          <w:trHeight w:hRule="exact" w:val="740"/>
        </w:trPr>
        <w:tc>
          <w:tcPr>
            <w:tcW w:type="dxa" w:w="462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9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“comply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requirments”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4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“comply with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requirements”</w:t>
            </w:r>
          </w:p>
        </w:tc>
      </w:tr>
      <w:tr>
        <w:trPr>
          <w:trHeight w:hRule="exact" w:val="57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0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shatres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debentures;”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6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shares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debentures;”</w:t>
            </w:r>
          </w:p>
        </w:tc>
      </w:tr>
      <w:tr>
        <w:trPr>
          <w:trHeight w:hRule="exact" w:val="62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dosuments (if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any)”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documents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(if any)”</w:t>
            </w:r>
          </w:p>
        </w:tc>
      </w:tr>
      <w:tr>
        <w:trPr>
          <w:trHeight w:hRule="exact" w:val="55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prosopectus”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prospectus”</w:t>
            </w:r>
          </w:p>
        </w:tc>
      </w:tr>
      <w:tr>
        <w:trPr>
          <w:trHeight w:hRule="exact" w:val="988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88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 (Marginal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2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“Civil liability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untrue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prospectus.”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“Civil liability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untrue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prospectus.”</w:t>
            </w:r>
          </w:p>
        </w:tc>
      </w:tr>
      <w:tr>
        <w:trPr>
          <w:trHeight w:hRule="exact" w:val="37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“pubilc notice”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“public notice”</w:t>
            </w:r>
          </w:p>
        </w:tc>
      </w:tr>
      <w:tr>
        <w:trPr>
          <w:trHeight w:hRule="exact" w:val="56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“referrence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incorporated”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“reference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incorporated”</w:t>
            </w:r>
          </w:p>
        </w:tc>
      </w:tr>
      <w:tr>
        <w:trPr>
          <w:trHeight w:hRule="exact" w:val="574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“relive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“relieve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director”.</w:t>
            </w:r>
          </w:p>
        </w:tc>
      </w:tr>
      <w:tr>
        <w:trPr>
          <w:trHeight w:hRule="exact" w:val="42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“makes and offer”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“makes an offer”.</w:t>
            </w:r>
          </w:p>
        </w:tc>
      </w:tr>
      <w:tr>
        <w:trPr>
          <w:trHeight w:hRule="exact" w:val="54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“pruposes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56.”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“purposes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56.”</w:t>
            </w:r>
          </w:p>
        </w:tc>
      </w:tr>
      <w:tr>
        <w:trPr>
          <w:trHeight w:hRule="exact" w:val="576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“title to the shares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debters”,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“title to the shares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debtors”.</w:t>
            </w:r>
          </w:p>
        </w:tc>
      </w:tr>
      <w:tr>
        <w:trPr>
          <w:trHeight w:hRule="exact" w:val="41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“same priorites”,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“same priorities”;</w:t>
            </w:r>
          </w:p>
        </w:tc>
      </w:tr>
      <w:tr>
        <w:trPr>
          <w:trHeight w:hRule="exact" w:val="600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“issue of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denenture”,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“issue of another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debenture”;</w:t>
            </w:r>
          </w:p>
        </w:tc>
      </w:tr>
      <w:tr>
        <w:trPr>
          <w:trHeight w:hRule="exact" w:val="602"/>
        </w:trPr>
        <w:tc>
          <w:tcPr>
            <w:tcW w:type="dxa" w:w="462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31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“priority wihch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person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had”,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“priority which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person would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have had”.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50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49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transfered”,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have been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transferred”.</w:t>
            </w:r>
          </w:p>
        </w:tc>
      </w:tr>
      <w:tr>
        <w:trPr>
          <w:trHeight w:hRule="exact" w:val="85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“transaction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purpse”,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“transaction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purpose”;</w:t>
            </w:r>
          </w:p>
        </w:tc>
      </w:tr>
      <w:tr>
        <w:trPr>
          <w:trHeight w:hRule="exact" w:val="36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“suchection (1)”,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 (1)”.</w:t>
            </w:r>
          </w:p>
        </w:tc>
      </w:tr>
      <w:tr>
        <w:trPr>
          <w:trHeight w:hRule="exact" w:val="55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95(2)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“under susection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8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“under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(1)”.</w:t>
            </w:r>
          </w:p>
        </w:tc>
      </w:tr>
      <w:tr>
        <w:trPr>
          <w:trHeight w:hRule="exact" w:val="56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98(2)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compnay”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company”.</w:t>
            </w:r>
          </w:p>
        </w:tc>
      </w:tr>
      <w:tr>
        <w:trPr>
          <w:trHeight w:hRule="exact" w:val="62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secetion,”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“provisions of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section,”;</w:t>
            </w:r>
          </w:p>
        </w:tc>
      </w:tr>
      <w:tr>
        <w:trPr>
          <w:trHeight w:hRule="exact" w:val="56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102(11)(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“fifty thouand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rupees;”,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 fifty thousand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rupees;”.</w:t>
            </w:r>
          </w:p>
        </w:tc>
      </w:tr>
      <w:tr>
        <w:trPr>
          <w:trHeight w:hRule="exact" w:val="55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7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“fails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compaly”,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“fails to comply”.</w:t>
            </w:r>
          </w:p>
        </w:tc>
      </w:tr>
      <w:tr>
        <w:trPr>
          <w:trHeight w:hRule="exact" w:val="7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0" w:after="0"/>
              <w:ind w:left="70" w:right="1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refereces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)”,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words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“and the references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)”.</w:t>
            </w:r>
          </w:p>
        </w:tc>
      </w:tr>
      <w:tr>
        <w:trPr>
          <w:trHeight w:hRule="exact" w:val="95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119(1)(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“written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communications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all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sharehloders”,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“written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communications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 shareholders”.</w:t>
            </w:r>
          </w:p>
        </w:tc>
      </w:tr>
      <w:tr>
        <w:trPr>
          <w:trHeight w:hRule="exact" w:val="59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127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“any nawspaper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circulating”,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“any newspaper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circulating”.</w:t>
            </w:r>
          </w:p>
        </w:tc>
      </w:tr>
      <w:tr>
        <w:trPr>
          <w:trHeight w:hRule="exact" w:val="5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129(1)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“entered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shareregister”,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“entered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share register”.</w:t>
            </w:r>
          </w:p>
        </w:tc>
      </w:tr>
      <w:tr>
        <w:trPr>
          <w:trHeight w:hRule="exact" w:val="87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142(5)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“company’s costs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applicaition”,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“company’s cost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an application”.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506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37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“sign on behlaf”,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“signed on behalf”.</w:t>
            </w:r>
          </w:p>
        </w:tc>
      </w:tr>
      <w:tr>
        <w:trPr>
          <w:trHeight w:hRule="exact" w:val="53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167(1)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“annual general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 report”,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“annual report”.</w:t>
            </w:r>
          </w:p>
        </w:tc>
      </w:tr>
      <w:tr>
        <w:trPr>
          <w:trHeight w:hRule="exact" w:val="40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“subsidaries”,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“subsidiaries”.</w:t>
            </w:r>
          </w:p>
        </w:tc>
      </w:tr>
      <w:tr>
        <w:trPr>
          <w:trHeight w:hRule="exact" w:val="81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168(2)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 (1).”,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6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“in paragraphs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(1).”.</w:t>
            </w:r>
          </w:p>
        </w:tc>
      </w:tr>
      <w:tr>
        <w:trPr>
          <w:trHeight w:hRule="exact" w:val="344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175(5)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“Notwithstansing”,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“Notwithstanding”.</w:t>
            </w:r>
          </w:p>
        </w:tc>
      </w:tr>
      <w:tr>
        <w:trPr>
          <w:trHeight w:hRule="exact" w:val="77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inspector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appinted”,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5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inspector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appointed”.</w:t>
            </w:r>
          </w:p>
        </w:tc>
      </w:tr>
      <w:tr>
        <w:trPr>
          <w:trHeight w:hRule="exact" w:val="57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182(3)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6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court”.</w:t>
            </w:r>
          </w:p>
        </w:tc>
      </w:tr>
      <w:tr>
        <w:trPr>
          <w:trHeight w:hRule="exact" w:val="58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185(2)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“corporal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incorporeal”,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“corporeal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incorporeal”.</w:t>
            </w:r>
          </w:p>
        </w:tc>
      </w:tr>
      <w:tr>
        <w:trPr>
          <w:trHeight w:hRule="exact" w:val="56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2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“working days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from”;</w:t>
            </w:r>
          </w:p>
        </w:tc>
      </w:tr>
      <w:tr>
        <w:trPr>
          <w:trHeight w:hRule="exact" w:val="54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220(4)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7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“auothorises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“authorises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permits”.</w:t>
            </w:r>
          </w:p>
        </w:tc>
      </w:tr>
      <w:tr>
        <w:trPr>
          <w:trHeight w:hRule="exact" w:val="44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228(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(iiii)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(iii)</w:t>
            </w:r>
          </w:p>
        </w:tc>
      </w:tr>
      <w:tr>
        <w:trPr>
          <w:trHeight w:hRule="exact" w:val="53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241(3)(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“necessary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enble”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“necessary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enable”.</w:t>
            </w:r>
          </w:p>
        </w:tc>
      </w:tr>
      <w:tr>
        <w:trPr>
          <w:trHeight w:hRule="exact" w:val="5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)(iii)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board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satified”,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 the board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satisfied”</w:t>
            </w:r>
          </w:p>
        </w:tc>
      </w:tr>
      <w:tr>
        <w:trPr>
          <w:trHeight w:hRule="exact" w:val="60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242(5)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7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sign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cerificate”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8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sign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certificate”.</w:t>
            </w:r>
          </w:p>
        </w:tc>
      </w:tr>
      <w:tr>
        <w:trPr>
          <w:trHeight w:hRule="exact" w:val="68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245(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70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“by or against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amagamating”,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6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“by or against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amalgamating”.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49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1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246(3)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“whcih are to be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acquired”,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“which are to be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acquired”.</w:t>
            </w:r>
          </w:p>
        </w:tc>
      </w:tr>
      <w:tr>
        <w:trPr>
          <w:trHeight w:hRule="exact" w:val="81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248(2)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6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“under paragraph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) of subsection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(1)”.</w:t>
            </w:r>
          </w:p>
        </w:tc>
      </w:tr>
      <w:tr>
        <w:trPr>
          <w:trHeight w:hRule="exact" w:val="49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)(vii)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6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detalis”,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“containing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details”.</w:t>
            </w:r>
          </w:p>
        </w:tc>
      </w:tr>
      <w:tr>
        <w:trPr>
          <w:trHeight w:hRule="exact" w:val="7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273(1)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hearing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winding-up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pritition”,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34" w:after="0"/>
              <w:ind w:left="6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hearing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winding-up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petition”.</w:t>
            </w:r>
          </w:p>
        </w:tc>
      </w:tr>
      <w:tr>
        <w:trPr>
          <w:trHeight w:hRule="exact" w:val="63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274(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restrain further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peoceedings”,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restrain further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proceedings”.</w:t>
            </w:r>
          </w:p>
        </w:tc>
      </w:tr>
      <w:tr>
        <w:trPr>
          <w:trHeight w:hRule="exact" w:val="74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283(1)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“when the securites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respectively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“when the securities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were respectively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given”.</w:t>
            </w:r>
          </w:p>
        </w:tc>
      </w:tr>
      <w:tr>
        <w:trPr>
          <w:trHeight w:hRule="exact" w:val="77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284(1)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“In the case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windingup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“In the case where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 up order” .</w:t>
            </w:r>
          </w:p>
        </w:tc>
      </w:tr>
      <w:tr>
        <w:trPr>
          <w:trHeight w:hRule="exact" w:val="37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287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“shall have affact”,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“shall have effect”.</w:t>
            </w:r>
          </w:p>
        </w:tc>
      </w:tr>
      <w:tr>
        <w:trPr>
          <w:trHeight w:hRule="exact" w:val="58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290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windingup order”,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“Where a winding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up order”.</w:t>
            </w:r>
          </w:p>
        </w:tc>
      </w:tr>
      <w:tr>
        <w:trPr>
          <w:trHeight w:hRule="exact" w:val="194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“sequsetration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as 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separate debt due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bankrupt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insolvent,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ratebly 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seperate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creditors;”.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90" w:after="0"/>
              <w:ind w:left="6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“sequestration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balance separate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debt due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bankrupt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insolvent,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ratebly with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separate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creditors “;</w:t>
            </w:r>
          </w:p>
        </w:tc>
      </w:tr>
      <w:tr>
        <w:trPr>
          <w:trHeight w:hRule="exact" w:val="54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292(2)(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0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“windingup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affairs”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6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“winding up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affairs”.</w:t>
            </w:r>
          </w:p>
        </w:tc>
      </w:tr>
      <w:tr>
        <w:trPr>
          <w:trHeight w:hRule="exact" w:val="38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“prescrihed fee”,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“prescribed fee”.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256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5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“made a final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retuen”,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“made a final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return”;</w:t>
            </w:r>
          </w:p>
        </w:tc>
      </w:tr>
      <w:tr>
        <w:trPr>
          <w:trHeight w:hRule="exact" w:val="57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56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298(3)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“discharge him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 all liability”,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6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“discharge him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all liability”.</w:t>
            </w:r>
          </w:p>
        </w:tc>
      </w:tr>
      <w:tr>
        <w:trPr>
          <w:trHeight w:hRule="exact" w:val="524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299(1)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0" w:after="0"/>
              <w:ind w:left="5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“seperate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“separate meetings”.</w:t>
            </w:r>
          </w:p>
        </w:tc>
      </w:tr>
      <w:tr>
        <w:trPr>
          <w:trHeight w:hRule="exact" w:val="62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324(1)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 moths”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2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 exceeding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twelve months”.</w:t>
            </w:r>
          </w:p>
        </w:tc>
      </w:tr>
      <w:tr>
        <w:trPr>
          <w:trHeight w:hRule="exact" w:val="62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59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326(2)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5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“directors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cease, execpt”,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“directors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cease, except”.</w:t>
            </w:r>
          </w:p>
        </w:tc>
      </w:tr>
      <w:tr>
        <w:trPr>
          <w:trHeight w:hRule="exact" w:val="50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328(1)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 anthority”,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2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“on the liquidator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 an authority”.</w:t>
            </w:r>
          </w:p>
        </w:tc>
      </w:tr>
      <w:tr>
        <w:trPr>
          <w:trHeight w:hRule="exact" w:val="7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352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“for the prupose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giving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giving jurisdiction”.</w:t>
            </w:r>
          </w:p>
        </w:tc>
      </w:tr>
      <w:tr>
        <w:trPr>
          <w:trHeight w:hRule="exact" w:val="59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358(11)(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5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“makes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authourises”,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“makes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authorizes”.</w:t>
            </w:r>
          </w:p>
        </w:tc>
      </w:tr>
      <w:tr>
        <w:trPr>
          <w:trHeight w:hRule="exact" w:val="56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373(4)(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period of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moth”,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“period of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month”.</w:t>
            </w:r>
          </w:p>
        </w:tc>
      </w:tr>
      <w:tr>
        <w:trPr>
          <w:trHeight w:hRule="exact" w:val="7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377(6)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lessor’s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convenants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“the lessor’s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covenants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lease”.</w:t>
            </w:r>
          </w:p>
        </w:tc>
      </w:tr>
      <w:tr>
        <w:trPr>
          <w:trHeight w:hRule="exact" w:val="80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387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exempt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form stamp duty”,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4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exempt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from the stamp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duty”.”</w:t>
            </w:r>
          </w:p>
        </w:tc>
      </w:tr>
      <w:tr>
        <w:trPr>
          <w:trHeight w:hRule="exact" w:val="58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389(3)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 of Appeal”,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“appeal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courts”.</w:t>
            </w:r>
          </w:p>
        </w:tc>
      </w:tr>
      <w:tr>
        <w:trPr>
          <w:trHeight w:hRule="exact" w:val="51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67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396(3)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5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Secretaty”,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4" w:after="0"/>
              <w:ind w:left="4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the Deputy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Secretary”.</w:t>
            </w:r>
          </w:p>
        </w:tc>
      </w:tr>
      <w:tr>
        <w:trPr>
          <w:trHeight w:hRule="exact" w:val="80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</w:t>
            </w:r>
          </w:p>
        </w:tc>
        <w:tc>
          <w:tcPr>
            <w:tcW w:type="dxa" w:w="131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404(5)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56" w:after="0"/>
              <w:ind w:left="5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prepare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accodroance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with”,</w:t>
            </w:r>
          </w:p>
        </w:tc>
        <w:tc>
          <w:tcPr>
            <w:tcW w:type="dxa" w:w="155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prepare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proposals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accordance with”.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23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8.0" w:type="dxa"/>
      </w:tblPr>
      <w:tblGrid>
        <w:gridCol w:w="2255"/>
        <w:gridCol w:w="2255"/>
        <w:gridCol w:w="2255"/>
        <w:gridCol w:w="2255"/>
      </w:tblGrid>
      <w:tr>
        <w:trPr>
          <w:trHeight w:hRule="exact" w:val="738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55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414 (Marginal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Note)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Consent 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appointmented.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“Consent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appointed”</w:t>
            </w:r>
          </w:p>
        </w:tc>
      </w:tr>
      <w:tr>
        <w:trPr>
          <w:trHeight w:hRule="exact" w:val="57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428(2)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registrered”,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2" w:after="0"/>
              <w:ind w:left="8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“shall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registered”;</w:t>
            </w:r>
          </w:p>
        </w:tc>
      </w:tr>
      <w:tr>
        <w:trPr>
          <w:trHeight w:hRule="exact" w:val="98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428(3)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“sections 16 to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Decuments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“sections 16 to 22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Registration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Documents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Ordinance”.</w:t>
            </w:r>
          </w:p>
        </w:tc>
      </w:tr>
      <w:tr>
        <w:trPr>
          <w:trHeight w:hRule="exact" w:val="110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431(6)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“unless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floating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registered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repsect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“unless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floating 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registered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respect of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land”.</w:t>
            </w:r>
          </w:p>
        </w:tc>
      </w:tr>
      <w:tr>
        <w:trPr>
          <w:trHeight w:hRule="exact" w:val="74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449(2)(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“to obtain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mortagee’s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2" w:after="0"/>
              <w:ind w:left="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“to obtain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mortgagee’s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consent”.</w:t>
            </w:r>
          </w:p>
        </w:tc>
      </w:tr>
      <w:tr>
        <w:trPr>
          <w:trHeight w:hRule="exact" w:val="81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“called upon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fulfil obligations”,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“called upon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fulfill obligations”;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55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450(4)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“refrains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8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“refrains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acting”.</w:t>
            </w:r>
          </w:p>
        </w:tc>
      </w:tr>
      <w:tr>
        <w:trPr>
          <w:trHeight w:hRule="exact" w:val="38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470(1)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“for the pruposes”,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“for the purposes”.</w:t>
            </w:r>
          </w:p>
        </w:tc>
      </w:tr>
      <w:tr>
        <w:trPr>
          <w:trHeight w:hRule="exact" w:val="796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77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472(2)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“court” (wherever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it appears in that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subsection)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“court”</w:t>
            </w:r>
          </w:p>
        </w:tc>
      </w:tr>
      <w:tr>
        <w:trPr>
          <w:trHeight w:hRule="exact" w:val="109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481(3)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8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“nothing 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shall,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rejudice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operation”,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“nothing in this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shall,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prejudice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operation”.</w:t>
            </w:r>
          </w:p>
        </w:tc>
      </w:tr>
      <w:tr>
        <w:trPr>
          <w:trHeight w:hRule="exact" w:val="980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79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482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“Department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Registrar-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General”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(wherever occurs)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8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“Department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Registrar-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General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Companies”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496"/>
        <w:ind w:left="3178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Companies (Amendment) </w:t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27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22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6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04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94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58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62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auto" w:before="94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712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514(1)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“credited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estabilshed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 Act.”,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36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“credited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Fund established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 Act.”.</w:t>
            </w:r>
          </w:p>
        </w:tc>
      </w:tr>
      <w:tr>
        <w:trPr>
          <w:trHeight w:hRule="exact" w:val="776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81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519(3)(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 pertnership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2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 partnership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formed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purpose”.</w:t>
            </w:r>
          </w:p>
        </w:tc>
      </w:tr>
      <w:tr>
        <w:trPr>
          <w:trHeight w:hRule="exact" w:val="60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17(3)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“less that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“less than 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”;</w:t>
            </w:r>
          </w:p>
        </w:tc>
      </w:tr>
      <w:tr>
        <w:trPr>
          <w:trHeight w:hRule="exact" w:val="58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17(4)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“less that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2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“less than  ten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per centum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”;</w:t>
            </w:r>
          </w:p>
        </w:tc>
      </w:tr>
      <w:tr>
        <w:trPr>
          <w:trHeight w:hRule="exact" w:val="54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4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First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31(1)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“board may form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 to time”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6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“board may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time to time”.</w:t>
            </w:r>
          </w:p>
        </w:tc>
      </w:tr>
      <w:tr>
        <w:trPr>
          <w:trHeight w:hRule="exact" w:val="704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14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 7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“each provious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allotment”,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4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“each previous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allotment”;</w:t>
            </w:r>
          </w:p>
        </w:tc>
      </w:tr>
      <w:tr>
        <w:trPr>
          <w:trHeight w:hRule="exact" w:val="788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86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48" w:after="0"/>
              <w:ind w:left="14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 I 9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“those shates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48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“those shares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debentures”;</w:t>
            </w:r>
          </w:p>
        </w:tc>
      </w:tr>
      <w:tr>
        <w:trPr>
          <w:trHeight w:hRule="exact" w:val="96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14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)(i)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“combine assest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liabilities”,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0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“combine assets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liabilities”;</w:t>
            </w:r>
          </w:p>
        </w:tc>
      </w:tr>
      <w:tr>
        <w:trPr>
          <w:trHeight w:hRule="exact" w:val="102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14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20(3)(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)(ii)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“assets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liabilites”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8" w:after="0"/>
              <w:ind w:left="12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“assets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liabilities”;</w:t>
            </w:r>
          </w:p>
        </w:tc>
      </w:tr>
      <w:tr>
        <w:trPr>
          <w:trHeight w:hRule="exact" w:val="1010"/>
        </w:trPr>
        <w:tc>
          <w:tcPr>
            <w:tcW w:type="dxa" w:w="466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89</w:t>
            </w:r>
          </w:p>
        </w:tc>
        <w:tc>
          <w:tcPr>
            <w:tcW w:type="dxa" w:w="1304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8" w:after="0"/>
              <w:ind w:left="146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Part II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(1)(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58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102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debentrures”</w:t>
            </w:r>
          </w:p>
        </w:tc>
        <w:tc>
          <w:tcPr>
            <w:tcW w:type="dxa" w:w="1562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8" w:after="0"/>
              <w:ind w:left="0" w:right="43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“shares 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debentures”;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82" w:val="left"/>
        </w:tabs>
        <w:autoSpaceDE w:val="0"/>
        <w:widowControl/>
        <w:spacing w:line="266" w:lineRule="exact" w:before="0" w:after="506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Companies 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8.0" w:type="dxa"/>
      </w:tblPr>
      <w:tblGrid>
        <w:gridCol w:w="2255"/>
        <w:gridCol w:w="2255"/>
        <w:gridCol w:w="2255"/>
        <w:gridCol w:w="2255"/>
      </w:tblGrid>
      <w:tr>
        <w:trPr>
          <w:trHeight w:hRule="exact" w:val="742"/>
        </w:trPr>
        <w:tc>
          <w:tcPr>
            <w:tcW w:type="dxa" w:w="464"/>
            <w:tcBorders>
              <w:start w:sz="7.679999828338623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No.</w:t>
            </w:r>
          </w:p>
        </w:tc>
        <w:tc>
          <w:tcPr>
            <w:tcW w:type="dxa" w:w="1316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96" w:after="0"/>
              <w:ind w:left="144" w:right="288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Sections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Amended</w:t>
            </w:r>
          </w:p>
        </w:tc>
        <w:tc>
          <w:tcPr>
            <w:tcW w:type="dxa" w:w="1460"/>
            <w:tcBorders>
              <w:start w:sz="3.8399999141693115" w:val="single" w:color="#221F1F"/>
              <w:top w:sz="7.679999828338623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144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 </w:t>
            </w:r>
            <w:r>
              <w:br/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Repeal</w:t>
            </w:r>
          </w:p>
        </w:tc>
        <w:tc>
          <w:tcPr>
            <w:tcW w:type="dxa" w:w="1550"/>
            <w:tcBorders>
              <w:start w:sz="3.8399999141693115" w:val="single" w:color="#221F1F"/>
              <w:top w:sz="7.679999828338623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9" w:lineRule="auto" w:before="96" w:after="0"/>
              <w:ind w:left="288" w:right="432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 xml:space="preserve">Column III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Insert</w:t>
            </w:r>
          </w:p>
        </w:tc>
      </w:tr>
      <w:tr>
        <w:trPr>
          <w:trHeight w:hRule="exact" w:val="772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90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Fourth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Schedule Part II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22(2)(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subsidaries”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0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“body corporate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subsidiaries”.</w:t>
            </w:r>
          </w:p>
        </w:tc>
      </w:tr>
      <w:tr>
        <w:trPr>
          <w:trHeight w:hRule="exact" w:val="618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6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Fifth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0" w:right="576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meering”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“general meeting”;</w:t>
            </w:r>
          </w:p>
        </w:tc>
      </w:tr>
      <w:tr>
        <w:trPr>
          <w:trHeight w:hRule="exact" w:val="744"/>
        </w:trPr>
        <w:tc>
          <w:tcPr>
            <w:tcW w:type="dxa" w:w="464"/>
            <w:tcBorders>
              <w:start w:sz="7.679999828338623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</w:t>
            </w:r>
          </w:p>
        </w:tc>
        <w:tc>
          <w:tcPr>
            <w:tcW w:type="dxa" w:w="1316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4" w:after="0"/>
              <w:ind w:left="66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Fifth Schedule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16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1460"/>
            <w:tcBorders>
              <w:start w:sz="3.8399999141693115" w:val="single" w:color="#221F1F"/>
              <w:top w:sz="3.8399999141693115" w:val="single" w:color="#221F1F"/>
              <w:end w:sz="3.8399999141693115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8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“shareholders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retuen”</w:t>
            </w:r>
          </w:p>
        </w:tc>
        <w:tc>
          <w:tcPr>
            <w:tcW w:type="dxa" w:w="1550"/>
            <w:tcBorders>
              <w:start w:sz="3.8399999141693115" w:val="single" w:color="#221F1F"/>
              <w:top w:sz="3.8399999141693115" w:val="single" w:color="#221F1F"/>
              <w:end w:sz="7.679999828338623" w:val="single" w:color="#221F1F"/>
              <w:bottom w:sz="7.679999828338623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" w:after="0"/>
              <w:ind w:left="9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“shareholders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date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return”.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618"/>
        </w:trPr>
        <w:tc>
          <w:tcPr>
            <w:tcW w:type="dxa" w:w="436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8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Companies (Amendment)</w:t>
            </w:r>
          </w:p>
        </w:tc>
        <w:tc>
          <w:tcPr>
            <w:tcW w:type="dxa" w:w="18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066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29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3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