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tabs>
          <w:tab w:pos="2334" w:val="left"/>
        </w:tabs>
        <w:autoSpaceDE w:val="0"/>
        <w:widowControl/>
        <w:spacing w:line="245" w:lineRule="auto" w:before="298" w:after="0"/>
        <w:ind w:left="1742" w:right="1728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INTERNATIONAL  TRADITIONAL  SIHELOGY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>COUNCIL (ITSC) (INCORPORATION)</w:t>
      </w:r>
    </w:p>
    <w:p>
      <w:pPr>
        <w:autoSpaceDN w:val="0"/>
        <w:autoSpaceDE w:val="0"/>
        <w:widowControl/>
        <w:spacing w:line="238" w:lineRule="auto" w:before="26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16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 the International Traditional Sihelogy Council (ITSC)</w:t>
      </w:r>
    </w:p>
    <w:p>
      <w:pPr>
        <w:autoSpaceDN w:val="0"/>
        <w:autoSpaceDE w:val="0"/>
        <w:widowControl/>
        <w:spacing w:line="235" w:lineRule="auto" w:before="30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18" w:after="0"/>
        <w:ind w:left="1872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Premnath C. Dolawatte, Attorney-at-Law,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M.P. for Colombo District on 06th of August, 2024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23, 2024)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2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280]</w:t>
      </w:r>
    </w:p>
    <w:p>
      <w:pPr>
        <w:autoSpaceDN w:val="0"/>
        <w:autoSpaceDE w:val="0"/>
        <w:widowControl/>
        <w:spacing w:line="245" w:lineRule="auto" w:before="124" w:after="214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24.00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International Traditional Sihelogy Council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75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p>
      <w:pPr>
        <w:autoSpaceDN w:val="0"/>
        <w:autoSpaceDE w:val="0"/>
        <w:widowControl/>
        <w:spacing w:line="266" w:lineRule="auto" w:before="294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I</w:t>
      </w:r>
      <w:r>
        <w:rPr>
          <w:rFonts w:ascii="Times" w:hAnsi="Times" w:eastAsia="Times"/>
          <w:b w:val="0"/>
          <w:i w:val="0"/>
          <w:color w:val="000000"/>
          <w:sz w:val="14"/>
        </w:rPr>
        <w:t>NTERNATIONAL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RADITIONAL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IHELOGY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OUNCIL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(ITSC)</w:t>
      </w:r>
    </w:p>
    <w:p>
      <w:pPr>
        <w:autoSpaceDN w:val="0"/>
        <w:tabs>
          <w:tab w:pos="1794" w:val="left"/>
          <w:tab w:pos="6718" w:val="left"/>
        </w:tabs>
        <w:autoSpaceDE w:val="0"/>
        <w:widowControl/>
        <w:spacing w:line="286" w:lineRule="auto" w:before="338" w:after="0"/>
        <w:ind w:left="1526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 Council named and known as the </w:t>
      </w:r>
      <w:r>
        <w:rPr>
          <w:rFonts w:ascii="Times" w:hAnsi="Times" w:eastAsia="Times"/>
          <w:b w:val="0"/>
          <w:i w:val="0"/>
          <w:color w:val="000000"/>
          <w:sz w:val="16"/>
        </w:rPr>
        <w:t>Preamble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“International Traditional Sihelogy Council (ITSC)”,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heretofore been established in Sri Lanka for the purpose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effectually carrying out its objects and transacting all matters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with the said Council according to the rules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agreed to, by its members:</w:t>
      </w:r>
    </w:p>
    <w:p>
      <w:pPr>
        <w:autoSpaceDN w:val="0"/>
        <w:tabs>
          <w:tab w:pos="1794" w:val="left"/>
        </w:tabs>
        <w:autoSpaceDE w:val="0"/>
        <w:widowControl/>
        <w:spacing w:line="283" w:lineRule="auto" w:before="336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Council has heretofore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000000"/>
          <w:sz w:val="20"/>
        </w:rPr>
        <w:t>grant such application:</w:t>
      </w:r>
    </w:p>
    <w:p>
      <w:pPr>
        <w:autoSpaceDN w:val="0"/>
        <w:autoSpaceDE w:val="0"/>
        <w:widowControl/>
        <w:spacing w:line="266" w:lineRule="auto" w:before="336" w:after="278"/>
        <w:ind w:left="179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This Act may be cited as the International Traditional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Sihelogy Council (ITSC) (Incorporation) Act, No.     of  2024.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From and after the date of commencement of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 many persons as now are members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International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“International Traditional Sihelogy Council (ITSC)”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Traditional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Sihelogy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“the Council”) or shall hereafter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admitted as members of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4" w:val="left"/>
        </w:tabs>
        <w:autoSpaceDE w:val="0"/>
        <w:widowControl/>
        <w:spacing w:line="286" w:lineRule="auto" w:before="2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constituted, shall have perpetual succession under the name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style of the “International Traditional Sihelogy Council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(ITSC)” (hereinafter referred to as the “body corporate”),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by that name may sue and be sued with full power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to have, and use a common seal, and to alter the </w:t>
      </w:r>
      <w:r>
        <w:rPr>
          <w:rFonts w:ascii="Times" w:hAnsi="Times" w:eastAsia="Times"/>
          <w:b w:val="0"/>
          <w:i w:val="0"/>
          <w:color w:val="000000"/>
          <w:sz w:val="20"/>
        </w:rPr>
        <w:t>same at its pleasure.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32" w:val="left"/>
          <w:tab w:pos="3304" w:val="left"/>
        </w:tabs>
        <w:autoSpaceDE w:val="0"/>
        <w:widowControl/>
        <w:spacing w:line="240" w:lineRule="exact" w:before="26" w:after="0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International Traditional Sihelogy Council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56" w:after="236"/>
        <w:ind w:left="140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body corporate shall be deemed to be a Voluntary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 Organization within the meaning and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the Voluntary Social Services Organizations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that Act shall apply to and in relation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>management of the affairs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any other written law,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body corporate 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body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a degree-awarding institution named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International Traditional Sihelogy Institution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(ITSI);</w:t>
      </w:r>
    </w:p>
    <w:p>
      <w:pPr>
        <w:autoSpaceDN w:val="0"/>
        <w:tabs>
          <w:tab w:pos="2018" w:val="left"/>
          <w:tab w:pos="2422" w:val="left"/>
          <w:tab w:pos="2442" w:val="left"/>
        </w:tabs>
        <w:autoSpaceDE w:val="0"/>
        <w:widowControl/>
        <w:spacing w:line="264" w:lineRule="auto" w:before="29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promote traditional Sihela medicine, Sihela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nursing. Sihela farming, Sihela martial arts, Sihela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astrology, Sihela exorcism and Sihela dance through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members representing all three languages i.e.</w:t>
      </w:r>
    </w:p>
    <w:p>
      <w:pPr>
        <w:autoSpaceDN w:val="0"/>
        <w:autoSpaceDE w:val="0"/>
        <w:widowControl/>
        <w:spacing w:line="235" w:lineRule="auto" w:before="36" w:after="0"/>
        <w:ind w:left="0" w:right="4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Sinhala, Tamil and English;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57" w:lineRule="auto" w:before="296" w:after="1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promote the traditional Sihela medicine among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 Sinhala, Tamil and Muslim communities using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three languages i.e. Sinhala, Tamil and English;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take action to boost foreign exchange earnings</w:t>
            </w:r>
          </w:p>
        </w:tc>
      </w:tr>
    </w:tbl>
    <w:p>
      <w:pPr>
        <w:autoSpaceDN w:val="0"/>
        <w:autoSpaceDE w:val="0"/>
        <w:widowControl/>
        <w:spacing w:line="262" w:lineRule="auto" w:before="16" w:after="12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Sri Lanka by supporting the enhancement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mental and physical health of tourists through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promotion of international tourism activities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assisting wellness eco-tourism;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operate a specific Sihelogy In-patient Treatment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9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Unit for all diseases;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57" w:lineRule="auto" w:before="298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establish branches of the Sihelogy Institution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foreign countries: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02" w:val="left"/>
          <w:tab w:pos="6478" w:val="left"/>
        </w:tabs>
        <w:autoSpaceDE w:val="0"/>
        <w:widowControl/>
        <w:spacing w:line="254" w:lineRule="exact" w:before="0" w:after="0"/>
        <w:ind w:left="253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International Traditional Sihelogy Council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64" w:lineRule="auto" w:before="260" w:after="24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educational and social courses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programmes in collaboration with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universities;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add Sihela martial arts as a competition in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Commonwealth Games by popularizing it among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39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local and foreign communities;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64" w:lineRule="auto" w:before="308" w:after="2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create herb gardens and to obtain permission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grow without distinction all types of herbs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all forms of medical treatments and popularizing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herb gardens in society;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conduct Sihelogy programmes on relieving</w:t>
            </w:r>
          </w:p>
        </w:tc>
      </w:tr>
    </w:tbl>
    <w:p>
      <w:pPr>
        <w:autoSpaceDN w:val="0"/>
        <w:autoSpaceDE w:val="0"/>
        <w:widowControl/>
        <w:spacing w:line="259" w:lineRule="auto" w:before="22" w:after="24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mental stress and physical weaknesses of all school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children and on non communicable diseases;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obtain a part of the area in the Traditional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Medical Village named “Wedagama” to carry out</w:t>
            </w:r>
          </w:p>
        </w:tc>
      </w:tr>
    </w:tbl>
    <w:p>
      <w:pPr>
        <w:autoSpaceDN w:val="0"/>
        <w:autoSpaceDE w:val="0"/>
        <w:widowControl/>
        <w:spacing w:line="266" w:lineRule="auto" w:before="20" w:after="248"/>
        <w:ind w:left="251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Sihelogy activities and to get permission to use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closed schools mainly in Anuradhapura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Minuwangoda areas for Sihelogy projects;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a Care Centre instead of homes for the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elderly and to deploy Sihelogy motorcycle team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4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disaster management; and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57" w:lineRule="auto" w:before="310" w:after="0"/>
        <w:ind w:left="208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establish the Sihelogy People’s Relief Charity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Institute as a social welfare institute.</w:t>
      </w:r>
    </w:p>
    <w:p>
      <w:pPr>
        <w:autoSpaceDN w:val="0"/>
        <w:tabs>
          <w:tab w:pos="1798" w:val="left"/>
          <w:tab w:pos="2038" w:val="left"/>
          <w:tab w:pos="2518" w:val="left"/>
        </w:tabs>
        <w:autoSpaceDE w:val="0"/>
        <w:widowControl/>
        <w:spacing w:line="269" w:lineRule="auto" w:before="310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implementation of the objects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body corporate shall ensure that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shall be carried out without any distinction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based on race, religion, language, caste, gender, political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opinion, place of birth or such other ground.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32" w:val="left"/>
          <w:tab w:pos="3304" w:val="left"/>
        </w:tabs>
        <w:autoSpaceDE w:val="0"/>
        <w:widowControl/>
        <w:spacing w:line="240" w:lineRule="exact" w:before="26" w:after="200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International Traditional Sihelogy Council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objects of the body corporate shall be carried out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corporate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conflict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Ministry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Provincial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such manner so as not to create any conflict between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 of the body corporate and any work being carried out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Department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of any Provincial Council.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this Act,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 and the rules made under Secton 7,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body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and administration of the affairs of the body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9" w:lineRule="auto" w:before="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shall be carried out by a Management Council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(hereinafter referred to as the "Council") consisting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number of office bearers as may be specified by the rules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under Section 7.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08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members of the Management Council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holding office on the day immediately preceding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commencement of this Act shall, subject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rules made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function as an Interim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of the body corporate until the first Council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or elected within the period specified in 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and in the manner provided for by rules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7.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296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Subject to the provisions of Section 7, the Interim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shall have the power to make rules for the interim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 of the body corporate and for election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of the members of the first Council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corporate, not inconsistent with the provisions of this 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any other written law:</w:t>
      </w:r>
    </w:p>
    <w:p>
      <w:pPr>
        <w:autoSpaceDN w:val="0"/>
        <w:autoSpaceDE w:val="0"/>
        <w:widowControl/>
        <w:spacing w:line="264" w:lineRule="auto" w:before="308" w:after="0"/>
        <w:ind w:left="1702" w:right="25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Provided, the provisions of subsections (2) and (3)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7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the rules made </w:t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02" w:val="left"/>
          <w:tab w:pos="6478" w:val="left"/>
        </w:tabs>
        <w:autoSpaceDE w:val="0"/>
        <w:widowControl/>
        <w:spacing w:line="254" w:lineRule="exact" w:before="0" w:after="0"/>
        <w:ind w:left="253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International Traditional Sihelogy Council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p>
      <w:pPr>
        <w:autoSpaceDN w:val="0"/>
        <w:tabs>
          <w:tab w:pos="2038" w:val="left"/>
        </w:tabs>
        <w:autoSpaceDE w:val="0"/>
        <w:widowControl/>
        <w:spacing w:line="264" w:lineRule="auto" w:before="26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decision of the Interim Council shall be taken </w:t>
      </w:r>
      <w:r>
        <w:rPr>
          <w:rFonts w:ascii="Times" w:hAnsi="Times" w:eastAsia="Times"/>
          <w:b w:val="0"/>
          <w:i w:val="0"/>
          <w:color w:val="000000"/>
          <w:sz w:val="20"/>
        </w:rPr>
        <w:t>by the majority of its members present at any meeting.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320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first Council of the body corporate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6" w:lineRule="auto" w:before="32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office bearer of the Council including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patrons and advisors, shall be appointed or elected for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three years and any such office bearer, patron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advisor shall be eligible for re-appointment or re-election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after lapse of the said period of three years.</w:t>
      </w:r>
    </w:p>
    <w:p>
      <w:pPr>
        <w:autoSpaceDN w:val="0"/>
        <w:autoSpaceDE w:val="0"/>
        <w:widowControl/>
        <w:spacing w:line="274" w:lineRule="auto" w:before="322" w:after="0"/>
        <w:ind w:left="1798" w:right="240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bearer, the Council shall, having regard to the rules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corporate, elect or appoint a person to fill such vacancy.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320" w:after="26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only for the unexpired portion of the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body corporate shall have the power to do,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 and matters as are necessary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promotion or furtherance of the objects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>corporate or any one of them, including the power–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32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purchase, acquire, rent, construct, renovate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otherwise obtain lands or buildings which may be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4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for the purposes of the body corporate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deal with or dispose of the same as may be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expedient with a view to promoting the objects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body 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32" w:val="left"/>
          <w:tab w:pos="3304" w:val="left"/>
        </w:tabs>
        <w:autoSpaceDE w:val="0"/>
        <w:widowControl/>
        <w:spacing w:line="240" w:lineRule="exact" w:before="26" w:after="0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International Traditional Sihelogy Council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56" w:after="1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 into and perform or carry out, whether directly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through any officer or agent authorized in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behalf by the body corporate, all such contracts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agreements as may be necessary for the attainment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objects or the exercise of the powers of the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5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body corporate;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6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borrow or raise funds with or without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receive grants, gifts or donations in cash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kind:</w:t>
      </w:r>
    </w:p>
    <w:p>
      <w:pPr>
        <w:autoSpaceDN w:val="0"/>
        <w:tabs>
          <w:tab w:pos="2422" w:val="left"/>
          <w:tab w:pos="2722" w:val="left"/>
        </w:tabs>
        <w:autoSpaceDE w:val="0"/>
        <w:widowControl/>
        <w:spacing w:line="257" w:lineRule="auto" w:before="244" w:after="20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Council shall obtain the prior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approval of the Department of External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in respect of all foreign grants, gifts or </w:t>
      </w:r>
      <w:r>
        <w:rPr>
          <w:rFonts w:ascii="Times" w:hAnsi="Times" w:eastAsia="Times"/>
          <w:b w:val="0"/>
          <w:i w:val="0"/>
          <w:color w:val="000000"/>
          <w:sz w:val="20"/>
        </w:rPr>
        <w:t>donations made to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make, draw, accept, discount, endorse, negotiate,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buy, sell and issue bills of exchange, cheques,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4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promissory notes and other negotiable instruments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open, operate, maintain and close accounts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any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invest any funds that are not immediately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for the purposes of the body corporate, in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0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manner as the Council may determine;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undertake, accept, execute, perform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 any lawful trust having objects similar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body corporate or any real or personal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with a view to promoting the objects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body corporate;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9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appoint, employ, dismiss or terminate the services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officers and other employees of the 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and exercise disciplinary control over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them and to pay them such salaries, allowances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gratuities as may be determined by the 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02" w:val="left"/>
          <w:tab w:pos="6478" w:val="left"/>
        </w:tabs>
        <w:autoSpaceDE w:val="0"/>
        <w:widowControl/>
        <w:spacing w:line="254" w:lineRule="exact" w:before="0" w:after="0"/>
        <w:ind w:left="253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International Traditional Sihelogy Council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p>
      <w:pPr>
        <w:autoSpaceDN w:val="0"/>
        <w:tabs>
          <w:tab w:pos="2518" w:val="left"/>
        </w:tabs>
        <w:autoSpaceDE w:val="0"/>
        <w:widowControl/>
        <w:spacing w:line="276" w:lineRule="auto" w:before="268" w:after="27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liaise and co-ordinate with other local and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having similar objects to that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organize lectures, seminars and conferences with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view to promoting the objectives of the body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56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corporate;</w:t>
      </w:r>
    </w:p>
    <w:p>
      <w:pPr>
        <w:autoSpaceDN w:val="0"/>
        <w:tabs>
          <w:tab w:pos="2518" w:val="left"/>
        </w:tabs>
        <w:autoSpaceDE w:val="0"/>
        <w:widowControl/>
        <w:spacing w:line="266" w:lineRule="auto" w:before="338" w:after="276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train personnel in Sri Lanka or abroad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purposes of the body corporate;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other things as are authorized by this Act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achieve objects 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It shall be lawful for the body corporate,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to time, at any general meeting of the body corporate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by a majority of not less than two-thirds of the members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present and voting, to make rules, not inconsistent with the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54" w:after="0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or any other written law, for all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following matters:–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76" w:lineRule="auto" w:before="336" w:after="27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fees payable by the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election of office bearers of the Council or</w:t>
            </w:r>
          </w:p>
        </w:tc>
      </w:tr>
    </w:tbl>
    <w:p>
      <w:pPr>
        <w:autoSpaceDN w:val="0"/>
        <w:autoSpaceDE w:val="0"/>
        <w:widowControl/>
        <w:spacing w:line="276" w:lineRule="auto" w:before="28" w:after="278"/>
        <w:ind w:left="2518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vacation of or removal from office of office bearers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terms and conditions of appointment, powers,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and duties of various officers, agents and</w:t>
            </w:r>
          </w:p>
        </w:tc>
      </w:tr>
    </w:tbl>
    <w:p>
      <w:pPr>
        <w:autoSpaceDN w:val="0"/>
        <w:autoSpaceDE w:val="0"/>
        <w:widowControl/>
        <w:spacing w:line="235" w:lineRule="auto" w:before="26" w:after="0"/>
        <w:ind w:left="0" w:right="39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servants of the body 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32" w:val="left"/>
          <w:tab w:pos="3304" w:val="left"/>
        </w:tabs>
        <w:autoSpaceDE w:val="0"/>
        <w:widowControl/>
        <w:spacing w:line="240" w:lineRule="exact" w:before="26" w:after="0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International Traditional Sihelogy Council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66" w:lineRule="auto" w:before="258" w:after="2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procedure to be followed for the summoning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holding of meetings of the body corporate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Council, notices and agenda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meetings, the quorum and the conduct of business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thereat;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qualifications and disqualifications to be a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member of the Council and the body corporate;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57" w:lineRule="auto" w:before="302" w:after="24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body corporate;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generally, the management of the affairs of the body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6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corporate and dissolution of the body corporate.</w:t>
      </w:r>
    </w:p>
    <w:p>
      <w:pPr>
        <w:autoSpaceDN w:val="0"/>
        <w:tabs>
          <w:tab w:pos="1702" w:val="left"/>
          <w:tab w:pos="2044" w:val="left"/>
        </w:tabs>
        <w:autoSpaceDE w:val="0"/>
        <w:widowControl/>
        <w:spacing w:line="274" w:lineRule="auto" w:before="30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rule made by the body corporate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amended, altered, added to or rescinded at a like 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 like manner, as a rule made under Subsection (1)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Section.</w:t>
      </w:r>
    </w:p>
    <w:p>
      <w:pPr>
        <w:autoSpaceDN w:val="0"/>
        <w:autoSpaceDE w:val="0"/>
        <w:widowControl/>
        <w:spacing w:line="264" w:lineRule="auto" w:before="284" w:after="246"/>
        <w:ind w:left="1702" w:right="2536" w:firstLine="3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rules made under this Subsection (1),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within three months upon making </w:t>
      </w:r>
      <w:r>
        <w:rPr>
          <w:rFonts w:ascii="Times" w:hAnsi="Times" w:eastAsia="Times"/>
          <w:b w:val="0"/>
          <w:i w:val="0"/>
          <w:color w:val="000000"/>
          <w:sz w:val="20"/>
        </w:rPr>
        <w:t>of such rules and shall come into effect on the date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shall maintain a register of members in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name, address and other essential details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4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43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body corporate shall have its own Fund.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404"/>
        </w:trPr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All money received by way of gifts, bequests,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71" w:lineRule="auto" w:before="1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donations, subscriptions, contributions, fees or grants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on account of the body corporate shall be deposited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or more banks approved by the Council to the credit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body corporate subject to the provisions of Section 6(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02" w:val="left"/>
          <w:tab w:pos="6478" w:val="left"/>
        </w:tabs>
        <w:autoSpaceDE w:val="0"/>
        <w:widowControl/>
        <w:spacing w:line="254" w:lineRule="exact" w:before="0" w:after="0"/>
        <w:ind w:left="253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International Traditional Sihelogy Council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p>
      <w:pPr>
        <w:autoSpaceDN w:val="0"/>
        <w:autoSpaceDE w:val="0"/>
        <w:widowControl/>
        <w:spacing w:line="271" w:lineRule="auto" w:before="262" w:after="0"/>
        <w:ind w:left="1798" w:right="24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Provided, for the purposes of this Section, "bank" means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bank licensed as a "licensed commercial Bank" under </w:t>
      </w:r>
      <w:r>
        <w:rPr>
          <w:rFonts w:ascii="Times" w:hAnsi="Times" w:eastAsia="Times"/>
          <w:b w:val="0"/>
          <w:i w:val="0"/>
          <w:color w:val="000000"/>
          <w:sz w:val="20"/>
        </w:rPr>
        <w:t>Part I of the Banking Act, No. 30 of 1988.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4" w:lineRule="auto" w:before="320" w:after="26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Fund, all such sums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as are required to defray any expenditure incurred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in the exercise, performance and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of 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year of the body corporate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calendar year.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body corporate shall cause proper accounts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kept of its income and expenditure, assets and liabilities </w:t>
      </w:r>
      <w:r>
        <w:rPr>
          <w:rFonts w:ascii="Times" w:hAnsi="Times" w:eastAsia="Times"/>
          <w:b w:val="0"/>
          <w:i w:val="0"/>
          <w:color w:val="000000"/>
          <w:sz w:val="20"/>
        </w:rPr>
        <w:t>and all other transactions of the body corporate.</w:t>
      </w:r>
    </w:p>
    <w:p>
      <w:pPr>
        <w:autoSpaceDN w:val="0"/>
        <w:tabs>
          <w:tab w:pos="2098" w:val="left"/>
        </w:tabs>
        <w:autoSpaceDE w:val="0"/>
        <w:widowControl/>
        <w:spacing w:line="262" w:lineRule="auto" w:before="32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000000"/>
          <w:sz w:val="20"/>
        </w:rPr>
        <w:t>annually by a qualified auditor.</w:t>
      </w:r>
    </w:p>
    <w:p>
      <w:pPr>
        <w:autoSpaceDN w:val="0"/>
        <w:tabs>
          <w:tab w:pos="1798" w:val="left"/>
          <w:tab w:pos="2098" w:val="left"/>
        </w:tabs>
        <w:autoSpaceDE w:val="0"/>
        <w:widowControl/>
        <w:spacing w:line="264" w:lineRule="auto" w:before="320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For the purposes of this section, "qualified auditor"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means–</w:t>
      </w:r>
    </w:p>
    <w:p>
      <w:pPr>
        <w:autoSpaceDN w:val="0"/>
        <w:tabs>
          <w:tab w:pos="2352" w:val="left"/>
          <w:tab w:pos="2716" w:val="left"/>
        </w:tabs>
        <w:autoSpaceDE w:val="0"/>
        <w:widowControl/>
        <w:spacing w:line="276" w:lineRule="auto" w:before="320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 individual who, being a member of the Institute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Chartered Accountants of Sri Lanka or of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Institute established by law, possesses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to practise as an Accountant, issued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Council of such Institute; or</w:t>
      </w:r>
    </w:p>
    <w:p>
      <w:pPr>
        <w:autoSpaceDN w:val="0"/>
        <w:tabs>
          <w:tab w:pos="2352" w:val="left"/>
          <w:tab w:pos="2716" w:val="left"/>
        </w:tabs>
        <w:autoSpaceDE w:val="0"/>
        <w:widowControl/>
        <w:spacing w:line="278" w:lineRule="auto" w:before="320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firm of Accountants each of the resident partners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which, being a member of the Institute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Chartered Accountants of Sri Lanka or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Institute established by law, possesses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to practise as an Accountant, issued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Council of such Institute.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32" w:val="left"/>
          <w:tab w:pos="3304" w:val="left"/>
        </w:tabs>
        <w:autoSpaceDE w:val="0"/>
        <w:widowControl/>
        <w:spacing w:line="240" w:lineRule="exact" w:before="26" w:after="0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International Traditional Sihelogy Council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p>
      <w:pPr>
        <w:autoSpaceDN w:val="0"/>
        <w:tabs>
          <w:tab w:pos="1942" w:val="left"/>
          <w:tab w:pos="2408" w:val="left"/>
          <w:tab w:pos="6624" w:val="left"/>
        </w:tabs>
        <w:autoSpaceDE w:val="0"/>
        <w:widowControl/>
        <w:spacing w:line="262" w:lineRule="auto" w:before="266" w:after="0"/>
        <w:ind w:left="1702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The Council  shall prepare a report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activities of the body corporate for each financial year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Report</w:t>
      </w:r>
    </w:p>
    <w:p>
      <w:pPr>
        <w:autoSpaceDN w:val="0"/>
        <w:tabs>
          <w:tab w:pos="1410" w:val="left"/>
          <w:tab w:pos="1702" w:val="left"/>
        </w:tabs>
        <w:autoSpaceDE w:val="0"/>
        <w:widowControl/>
        <w:spacing w:line="283" w:lineRule="auto" w:before="5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such report together with the audited statement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certified by a qualified auditor and details of 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contracts and agreements entered into by the body corporate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the rules made under Section 7 to the Secretary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Ministry of the Minister assigned the subject of Health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the Registrar of Voluntary Social Services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Organizations appointed under the voluntary Social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Organizations (Registration and Supervision)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31 of 1980, before the expiration of six months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 succeeding the year to which such report relates.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26" w:after="26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Account relating to the foreign and local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moneys received by the body corporate during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shall be attached to the report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All debts and liabilities of the Council existing 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day immediately preceding the date of commencement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Act, shall be paid by the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and all debts due to, subscriptions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4" w:after="26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contributions payable to the Council on that day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paid to the body corporate 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body corporate shall be able and capable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law to take and hold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property, movable or immovable,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may become vested in it by  virtue of any purchase,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grant, gift, testamentary disposition or otherwise,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18" w:after="0"/>
        <w:ind w:left="136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property shall be held by the body corporate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this Act and subject to the rules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made under Section 7, with power to sell, </w:t>
      </w:r>
      <w:r>
        <w:rPr>
          <w:rFonts w:ascii="Times" w:hAnsi="Times" w:eastAsia="Times"/>
          <w:b w:val="0"/>
          <w:i w:val="0"/>
          <w:color w:val="000000"/>
          <w:sz w:val="20"/>
        </w:rPr>
        <w:t>mortgage, lease, exchange or otherwise dispose of the same.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02" w:val="left"/>
          <w:tab w:pos="6376" w:val="left"/>
        </w:tabs>
        <w:autoSpaceDE w:val="0"/>
        <w:widowControl/>
        <w:spacing w:line="254" w:lineRule="exact" w:before="0" w:after="188"/>
        <w:ind w:left="253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International Traditional Sihelogy Council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04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16" w:right="4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Act and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law, the moneys and property of the body corporate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however derived shall be applied solely towards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moneys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property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7" w:lineRule="auto" w:before="12" w:after="216"/>
        <w:ind w:left="15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 of the objects of the body corporate and no portion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 shall be paid or transferred directly or indirectly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way of dividend, bonus or profit or otherwise howsoever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members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seal of the body corporate shall not be affixed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 whatsoever, except in the presence of two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Council, who shall sign their names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 in token of their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presence and such signing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independent of the signing of any person as a witness.</w:t>
      </w:r>
    </w:p>
    <w:p>
      <w:pPr>
        <w:autoSpaceDN w:val="0"/>
        <w:autoSpaceDE w:val="0"/>
        <w:widowControl/>
        <w:spacing w:line="250" w:lineRule="auto" w:before="276" w:after="1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000000"/>
          <w:sz w:val="20"/>
        </w:rPr>
        <w:t>of an office bearer of the Council as may be decided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If upon the dissolution of the body corporate there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its debts and liabilities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distributed among the members of the body corporate, but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given or transferred to any other institution having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0" w:after="0"/>
        <w:ind w:left="1798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objects similar to those of the body corporate, and which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rules thereof, prohibited from distributing any income </w:t>
      </w:r>
      <w:r>
        <w:rPr>
          <w:rFonts w:ascii="Times" w:hAnsi="Times" w:eastAsia="Times"/>
          <w:b w:val="0"/>
          <w:i w:val="0"/>
          <w:color w:val="000000"/>
          <w:sz w:val="20"/>
        </w:rPr>
        <w:t>or property among its members.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6" w:after="16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Subsection (1), the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to which the property remains after the satisfaction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all the debts and liabilities of the body corporate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or transferred shall be determined by the members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with the approval of the Registrar of </w:t>
      </w:r>
      <w:r>
        <w:rPr>
          <w:rFonts w:ascii="Times" w:hAnsi="Times" w:eastAsia="Times"/>
          <w:b w:val="0"/>
          <w:i w:val="0"/>
          <w:color w:val="000000"/>
          <w:sz w:val="20"/>
        </w:rPr>
        <w:t>Voluntary Social Services Organizations appointed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Voluntary Social Services Organizations (Registration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Supervision) Act, No. 31 of 1980 immediately before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dissolution at a general meeting by the majority of votes </w:t>
      </w:r>
      <w:r>
        <w:rPr>
          <w:rFonts w:ascii="Times" w:hAnsi="Times" w:eastAsia="Times"/>
          <w:b w:val="0"/>
          <w:i w:val="0"/>
          <w:color w:val="000000"/>
          <w:sz w:val="20"/>
        </w:rPr>
        <w:t>of the members present.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32" w:val="left"/>
          <w:tab w:pos="3304" w:val="left"/>
        </w:tabs>
        <w:autoSpaceDE w:val="0"/>
        <w:widowControl/>
        <w:spacing w:line="240" w:lineRule="exact" w:before="26" w:after="196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International Traditional Sihelogy Council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 requires—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“Sihelogy” means, a scientific way of living belongs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6" w:after="0"/>
        <w:ind w:left="290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four main great tribes of sivhela Yakka,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Deva, Naga and Raksha from which it was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originated and continued since the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immemorial including sivhela or sihela</w:t>
      </w:r>
    </w:p>
    <w:p>
      <w:pPr>
        <w:autoSpaceDN w:val="0"/>
        <w:tabs>
          <w:tab w:pos="2902" w:val="left"/>
        </w:tabs>
        <w:autoSpaceDE w:val="0"/>
        <w:widowControl/>
        <w:spacing w:line="266" w:lineRule="auto" w:before="34" w:after="236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medicine, nursing, farming, martial arts,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performing arts, food culture, educational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concepts, beauty culture, physio therapy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oil therapy, traditional acupuncture, wood </w:t>
      </w:r>
      <w:r>
        <w:rPr>
          <w:rFonts w:ascii="Times" w:hAnsi="Times" w:eastAsia="Times"/>
          <w:b w:val="0"/>
          <w:i w:val="0"/>
          <w:color w:val="000000"/>
          <w:sz w:val="20"/>
        </w:rPr>
        <w:t>carving and tree arts and pharmacology.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308"/>
        </w:trPr>
        <w:tc>
          <w:tcPr>
            <w:tcW w:type="dxa" w:w="4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International Traditional Sihelogy Council</w:t>
            </w:r>
          </w:p>
        </w:tc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1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75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p>
      <w:pPr>
        <w:autoSpaceDN w:val="0"/>
        <w:autoSpaceDE w:val="0"/>
        <w:widowControl/>
        <w:spacing w:line="238" w:lineRule="auto" w:before="9158" w:after="0"/>
        <w:ind w:left="0" w:right="3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