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3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9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PROTECTION OF OCCUPANTS</w:t>
      </w:r>
    </w:p>
    <w:p>
      <w:pPr>
        <w:autoSpaceDN w:val="0"/>
        <w:autoSpaceDE w:val="0"/>
        <w:widowControl/>
        <w:spacing w:line="238" w:lineRule="auto" w:before="31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5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7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prevent a landlord from ejecting persons from occupation of a</w:t>
      </w:r>
    </w:p>
    <w:p>
      <w:pPr>
        <w:autoSpaceDN w:val="0"/>
        <w:autoSpaceDE w:val="0"/>
        <w:widowControl/>
        <w:spacing w:line="238" w:lineRule="auto" w:before="4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premises; and to provide for matters connected therewith or incidental</w:t>
      </w:r>
    </w:p>
    <w:p>
      <w:pPr>
        <w:autoSpaceDN w:val="0"/>
        <w:autoSpaceDE w:val="0"/>
        <w:widowControl/>
        <w:spacing w:line="238" w:lineRule="auto" w:before="4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thereto</w:t>
      </w:r>
    </w:p>
    <w:p>
      <w:pPr>
        <w:autoSpaceDN w:val="0"/>
        <w:autoSpaceDE w:val="0"/>
        <w:widowControl/>
        <w:spacing w:line="238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132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Constitutional Reforms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21st of August, 2024</w:t>
      </w:r>
    </w:p>
    <w:p>
      <w:pPr>
        <w:autoSpaceDN w:val="0"/>
        <w:autoSpaceDE w:val="0"/>
        <w:widowControl/>
        <w:spacing w:line="235" w:lineRule="auto" w:before="1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19, 2024)</w:t>
      </w:r>
    </w:p>
    <w:p>
      <w:pPr>
        <w:autoSpaceDN w:val="0"/>
        <w:autoSpaceDE w:val="0"/>
        <w:widowControl/>
        <w:spacing w:line="235" w:lineRule="auto" w:before="19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288]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415" w:lineRule="auto" w:before="476" w:after="0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 – O. 64/2023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PREVENT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LANDLORD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EJECTING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</w:p>
    <w:p>
      <w:pPr>
        <w:autoSpaceDN w:val="0"/>
        <w:autoSpaceDE w:val="0"/>
        <w:widowControl/>
        <w:spacing w:line="238" w:lineRule="auto" w:before="58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OCCUPATION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PREMISES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</w:p>
    <w:p>
      <w:pPr>
        <w:autoSpaceDN w:val="0"/>
        <w:autoSpaceDE w:val="0"/>
        <w:widowControl/>
        <w:spacing w:line="235" w:lineRule="auto" w:before="56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auto" w:before="342" w:after="0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342" w:after="0"/>
        <w:ind w:left="203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This Act may be cited as the Protection of Occupants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56" w:after="268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9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this Act shall apply to a person who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the Act</w:t>
      </w:r>
    </w:p>
    <w:p>
      <w:pPr>
        <w:autoSpaceDN w:val="0"/>
        <w:tabs>
          <w:tab w:pos="2634" w:val="left"/>
        </w:tabs>
        <w:autoSpaceDE w:val="0"/>
        <w:widowControl/>
        <w:spacing w:line="415" w:lineRule="auto" w:before="134" w:after="0"/>
        <w:ind w:left="223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lawful occupation of a premises;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in undisturbed and uninterrupted</w:t>
      </w:r>
    </w:p>
    <w:p>
      <w:pPr>
        <w:autoSpaceDN w:val="0"/>
        <w:tabs>
          <w:tab w:pos="2634" w:val="left"/>
        </w:tabs>
        <w:autoSpaceDE w:val="0"/>
        <w:widowControl/>
        <w:spacing w:line="281" w:lineRule="auto" w:before="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occupation of such premises for a period of more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three months, prior to the eventualities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under section 3, 4 or 5,</w:t>
      </w:r>
    </w:p>
    <w:p>
      <w:pPr>
        <w:autoSpaceDN w:val="0"/>
        <w:autoSpaceDE w:val="0"/>
        <w:widowControl/>
        <w:spacing w:line="238" w:lineRule="auto" w:before="332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this Act referred to as the “occupant”.</w:t>
      </w:r>
    </w:p>
    <w:p>
      <w:pPr>
        <w:autoSpaceDN w:val="0"/>
        <w:autoSpaceDE w:val="0"/>
        <w:widowControl/>
        <w:spacing w:line="415" w:lineRule="auto" w:before="338" w:after="282"/>
        <w:ind w:left="2736" w:right="345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AFEGUARDS</w:t>
      </w:r>
      <w:r>
        <w:rPr>
          <w:rFonts w:ascii="Times" w:hAnsi="Times" w:eastAsia="Times"/>
          <w:b w:val="0"/>
          <w:i w:val="0"/>
          <w:color w:val="000000"/>
          <w:sz w:val="14"/>
        </w:rPr>
        <w:t>AFFORDED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CCUPANTS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9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landlord of any premises, either by himself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Landlord not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any other person, shall not-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discontinue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amenities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discontinue or withhold any amenity or facility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2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any essential supply or utility service</w:t>
      </w:r>
    </w:p>
    <w:p>
      <w:pPr>
        <w:autoSpaceDN w:val="0"/>
        <w:autoSpaceDE w:val="0"/>
        <w:widowControl/>
        <w:spacing w:line="238" w:lineRule="auto" w:before="52" w:after="0"/>
        <w:ind w:left="0" w:right="3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previously provided to the occupant;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2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Protection of Occupants</w:t>
      </w:r>
    </w:p>
    <w:p>
      <w:pPr>
        <w:autoSpaceDN w:val="0"/>
        <w:autoSpaceDE w:val="0"/>
        <w:widowControl/>
        <w:spacing w:line="262" w:lineRule="auto" w:before="494" w:after="0"/>
        <w:ind w:left="2542" w:right="2536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refuse, withhold, fail to repair or maintain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 condition, or refuse to grant permission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repair or maintain in proper condition,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essential supply or utility service previously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to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occupant.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Landlord not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landlord of any premises, or any other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the landlord shall not, either by himself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damage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premises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any other person, directly or indirectly, damage,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demolish or tamper with the premises, in order to induce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compel an occupant to vacate the premises.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occupant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landlord of any premises or any other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the landlord shall not, either by himself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be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ejected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any other person, eject or cause to eject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an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occupant from the premises or a part of the premises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 of a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 of the terms and conditions of any lease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17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tenancy agreement entered into between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landlord and the occupant in terms of the relevant written </w:t>
      </w:r>
      <w:r>
        <w:rPr>
          <w:rFonts w:ascii="Times" w:hAnsi="Times" w:eastAsia="Times"/>
          <w:b w:val="0"/>
          <w:i w:val="0"/>
          <w:color w:val="000000"/>
          <w:sz w:val="20"/>
        </w:rPr>
        <w:t>law, or</w:t>
      </w:r>
      <w:r>
        <w:rPr>
          <w:rFonts w:ascii="Times" w:hAnsi="Times" w:eastAsia="Times"/>
          <w:b w:val="0"/>
          <w:i w:val="0"/>
          <w:color w:val="000000"/>
          <w:sz w:val="20"/>
        </w:rPr>
        <w:t>a decree or an order of a competent court.</w:t>
      </w:r>
    </w:p>
    <w:p>
      <w:pPr>
        <w:autoSpaceDN w:val="0"/>
        <w:autoSpaceDE w:val="0"/>
        <w:widowControl/>
        <w:spacing w:line="235" w:lineRule="auto" w:before="294" w:after="232"/>
        <w:ind w:left="0" w:right="4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NSTITUTION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ACTION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RELIEF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Where the  landlord of any premises (in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"respondent") either by himself or through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 by the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occupant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person, directly or indirectly, commits any one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acts or omissions referred to in section  3, 4 or 5,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landlord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aggrieved occupant of such premises (in this Act referred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"petitioner") may institute an action in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>having jurisdiction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one month of the commission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omission of the act, by presenting a petition supported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affidavit setting out the grounds on which the action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together with any other relevant material, seeking an </w:t>
      </w:r>
      <w:r>
        <w:rPr>
          <w:rFonts w:ascii="Times" w:hAnsi="Times" w:eastAsia="Times"/>
          <w:b w:val="0"/>
          <w:i w:val="0"/>
          <w:color w:val="000000"/>
          <w:sz w:val="20"/>
        </w:rPr>
        <w:t>order for one or more of the following reliefs:-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32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Protection of Occupants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78" w:lineRule="auto" w:before="508" w:after="20"/>
        <w:ind w:left="22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restore the amenities, facilities, essential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supplies or utility services or to grant permission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repair and maintain such amenities, facilities,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essential supplies or utility services in a proper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prevent the respondent from using or threatening</w:t>
            </w:r>
          </w:p>
        </w:tc>
      </w:tr>
    </w:tbl>
    <w:p>
      <w:pPr>
        <w:autoSpaceDN w:val="0"/>
        <w:autoSpaceDE w:val="0"/>
        <w:widowControl/>
        <w:spacing w:line="274" w:lineRule="auto" w:before="26" w:after="264"/>
        <w:ind w:left="263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use any force or violence, or from inflicting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threatening to inflict any harm, damage or loss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upon or against the occupant of such premises;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prevent the respondent from damaging,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27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demolishing or tampering with the premises;</w:t>
      </w:r>
    </w:p>
    <w:p>
      <w:pPr>
        <w:autoSpaceDN w:val="0"/>
        <w:tabs>
          <w:tab w:pos="2636" w:val="left"/>
        </w:tabs>
        <w:autoSpaceDE w:val="0"/>
        <w:widowControl/>
        <w:spacing w:line="264" w:lineRule="auto" w:before="332" w:after="0"/>
        <w:ind w:left="22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to restore the petitioner to vacant and undisturbed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the premises; or</w:t>
      </w:r>
    </w:p>
    <w:p>
      <w:pPr>
        <w:autoSpaceDN w:val="0"/>
        <w:tabs>
          <w:tab w:pos="2638" w:val="left"/>
        </w:tabs>
        <w:autoSpaceDE w:val="0"/>
        <w:widowControl/>
        <w:spacing w:line="238" w:lineRule="auto" w:before="332" w:after="0"/>
        <w:ind w:left="22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any other relief as may be determined by the Court.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6" w:lineRule="auto" w:before="334" w:after="272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addition to any order seeking relief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petitioner may seek interim relief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status quo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premises and to prevent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respondent from committing any wrongful act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the provisions of section 3, 4 or 5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wrongful act that would render the final judgement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action, nugatory.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an action being instituted under section 6, if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Hearing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is satisfied on the evidence exhibited or adduced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petition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 Court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the material facts of the petition are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prima facie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established, and is of the opinion that the petitioner is entitled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any one or more of the reliefs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he has prayed for, </w:t>
      </w:r>
      <w:r>
        <w:rPr>
          <w:rFonts w:ascii="Times" w:hAnsi="Times" w:eastAsia="Times"/>
          <w:b w:val="0"/>
          <w:i w:val="0"/>
          <w:color w:val="000000"/>
          <w:sz w:val="20"/>
        </w:rPr>
        <w:t>then the Court shall make-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order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nisi,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conditioned to take effect, in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event the respondent does not show cause against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it, on a day specified by the order;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interlocutory order specifying a day for 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determination of the matter of the petition, and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54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intimating that the respondent will be heard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opposition to the petition if he appears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 for that purpose on the day so specified.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 The date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a date not more than fourteen 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delivery of the relevant order.</w:t>
      </w:r>
    </w:p>
    <w:p>
      <w:pPr>
        <w:autoSpaceDN w:val="0"/>
        <w:autoSpaceDE w:val="0"/>
        <w:widowControl/>
        <w:spacing w:line="259" w:lineRule="auto" w:before="294" w:after="0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provisions of Chapter XXIV of the Civil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 any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>commenced under this 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application for an order under this Act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heard and determined expeditiously, and the Court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complete the hearing within three months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petition on being satisfied only of the content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affidavit and the evidence exhibited or adduced with the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petition.</w:t>
      </w:r>
    </w:p>
    <w:p>
      <w:pPr>
        <w:autoSpaceDN w:val="0"/>
        <w:autoSpaceDE w:val="0"/>
        <w:widowControl/>
        <w:spacing w:line="264" w:lineRule="auto" w:before="254" w:after="234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respondent requests to be heard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opposition by way of a statement of objection,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complete the hearing not later than nine months from </w:t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statement of objection.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respondent appears before the Court or moves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 made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heard in opposition in terms of the provisions of 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matters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heard in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 and the Court determines that there is sufficient cause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opposition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why the order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should not take effect, the Court may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such costs, reliefs and expenses claimed for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respondent as justice may demand.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Failure to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Where the Court makes an order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restoration of any amenities, facilities, essential supplies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comply with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order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utility services in any premises, the Court may make further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restore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in the same order or in a subsequent order that if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amenities,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respondent fails to comply with such order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</w:t>
            </w:r>
          </w:p>
        </w:tc>
      </w:tr>
    </w:tbl>
    <w:p>
      <w:pPr>
        <w:autoSpaceDN w:val="0"/>
        <w:autoSpaceDE w:val="0"/>
        <w:widowControl/>
        <w:spacing w:line="259" w:lineRule="auto" w:before="8" w:after="0"/>
        <w:ind w:left="1798" w:right="2402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specified in such order, such order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shall be executed in such manner as may be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>therein.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64" w:lineRule="auto" w:before="292" w:after="232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respondent fails to comply with such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said order shall be executed in such manner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such order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subsequent order,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mero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motu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on application of the petitioner to grant the order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be made final.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Court orders the restoration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Restoration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petitioner into vacant possession of the premises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petitioner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forthwith direct the Fiscal to restore the petitioner into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into vacant</w:t>
            </w:r>
          </w:p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vacant possession of the premises referred to in the order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possession of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ejecting all those who are in occupation of the premises.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premises</w:t>
            </w:r>
          </w:p>
        </w:tc>
      </w:tr>
    </w:tbl>
    <w:p>
      <w:pPr>
        <w:autoSpaceDN w:val="0"/>
        <w:tabs>
          <w:tab w:pos="1796" w:val="left"/>
          <w:tab w:pos="1996" w:val="left"/>
        </w:tabs>
        <w:autoSpaceDE w:val="0"/>
        <w:widowControl/>
        <w:spacing w:line="269" w:lineRule="auto" w:before="23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Fiscal is resisted or obstructed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respondent or any other person, in the execution of the 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restoring the petitioner into vacant possession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premises, the Fiscal shall, within fourteen days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resistance or obstruction, report such resistance or obstruction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Court in such form as specified in the Schedule to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Court shall thereupon issue a notice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resisting or obstructing requiring him to show 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fourteen days from the date of such notice as to why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should not be dealt with for contempt of Court occasioned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such resistance or obstruction.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9" w:lineRule="auto" w:before="29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Where, after the petitioner is restored into vacant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possession, the petitioner is hindered or ousted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the premises by the respondent or any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2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Protection of Occupants</w:t>
      </w:r>
    </w:p>
    <w:p>
      <w:pPr>
        <w:autoSpaceDN w:val="0"/>
        <w:tabs>
          <w:tab w:pos="1702" w:val="left"/>
        </w:tabs>
        <w:autoSpaceDE w:val="0"/>
        <w:widowControl/>
        <w:spacing w:line="250" w:lineRule="auto" w:before="482" w:after="0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within a period of one year and one day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possession of the premises,  the petitioner may,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time within one month from the date of such  hindrance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ouster, make a complaint thereon to the Court by a petition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the respondent or  other person  hindering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ousting  him shall be named respondents.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0" w:lineRule="auto" w:before="258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Court shall, upon receipt of a petition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serve a copy of such petition on the 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named therein as respondents and require them to show cause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fourteen days from the date of such order as to why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they should not be dealt with for contempt of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occasioned by such hindrance or ouster.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47" w:lineRule="auto" w:before="25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On the hearing of such report made by the Fiscal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petition filed by the petitioner under subsection (2) or (3),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the Court is satisfied –</w:t>
      </w:r>
    </w:p>
    <w:p>
      <w:pPr>
        <w:autoSpaceDN w:val="0"/>
        <w:tabs>
          <w:tab w:pos="2542" w:val="left"/>
          <w:tab w:pos="2544" w:val="left"/>
        </w:tabs>
        <w:autoSpaceDE w:val="0"/>
        <w:widowControl/>
        <w:spacing w:line="250" w:lineRule="auto" w:before="254" w:after="194"/>
        <w:ind w:left="2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resistance, obstruction, hindrance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ouster complained of was occasioned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respondent to the original petition or by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at his instigation or on his 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resistance, obstruction, hindrance or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50" w:lineRule="auto" w:before="0" w:after="198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ouster complained of was occasioned by a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respondent to the original petition,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that the claim of such person to be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the premises, whether on his own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or on account of some person other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respondent to the original petition, is not in </w:t>
      </w:r>
      <w:r>
        <w:rPr>
          <w:rFonts w:ascii="Times" w:hAnsi="Times" w:eastAsia="Times"/>
          <w:b w:val="0"/>
          <w:i w:val="0"/>
          <w:color w:val="000000"/>
          <w:sz w:val="20"/>
        </w:rPr>
        <w:t>good faith;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claim made by the respondent or the person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  occasioned the resistance, obstruction,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hindrance or ouster, if any, has not been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established,</w:t>
      </w:r>
    </w:p>
    <w:p>
      <w:pPr>
        <w:autoSpaceDN w:val="0"/>
        <w:autoSpaceDE w:val="0"/>
        <w:widowControl/>
        <w:spacing w:line="245" w:lineRule="auto" w:before="25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procced to take action as set out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(5).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32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Protection of Occupants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35" w:lineRule="auto" w:before="506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 The Court shall, pursuant to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(4) -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59" w:lineRule="auto" w:before="310" w:after="248"/>
        <w:ind w:left="22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the Fiscal to restore possession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premises, to the petitioner forthwith;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punish the respondent or any other person who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occasioned the resistance, obstruction, hindrance</w:t>
            </w:r>
          </w:p>
        </w:tc>
      </w:tr>
    </w:tbl>
    <w:p>
      <w:pPr>
        <w:autoSpaceDN w:val="0"/>
        <w:tabs>
          <w:tab w:pos="2636" w:val="left"/>
          <w:tab w:pos="2638" w:val="left"/>
        </w:tabs>
        <w:autoSpaceDE w:val="0"/>
        <w:widowControl/>
        <w:spacing w:line="271" w:lineRule="auto" w:before="2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ouster as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(4) for contempt of court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fine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rupees five hundred thousand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imprisonment for a term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one year or with both such fine and imprisonment:</w:t>
      </w:r>
    </w:p>
    <w:p>
      <w:pPr>
        <w:autoSpaceDN w:val="0"/>
        <w:tabs>
          <w:tab w:pos="2638" w:val="left"/>
          <w:tab w:pos="3058" w:val="left"/>
        </w:tabs>
        <w:autoSpaceDE w:val="0"/>
        <w:widowControl/>
        <w:spacing w:line="274" w:lineRule="auto" w:before="310" w:after="0"/>
        <w:ind w:left="143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provisions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303 of the Code of Criminal Procedure Act, 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of 1979 shall not be applicable in respect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offender on whom a sentence of imprisonment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imposed under this paragraph.</w:t>
      </w:r>
    </w:p>
    <w:p>
      <w:pPr>
        <w:autoSpaceDN w:val="0"/>
        <w:autoSpaceDE w:val="0"/>
        <w:widowControl/>
        <w:spacing w:line="264" w:lineRule="auto" w:before="302" w:after="0"/>
        <w:ind w:left="1798" w:right="240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any case involving a false claim under paragraph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(4), the offender shall, on conviction, be </w:t>
      </w:r>
      <w:r>
        <w:rPr>
          <w:rFonts w:ascii="Times" w:hAnsi="Times" w:eastAsia="Times"/>
          <w:b w:val="0"/>
          <w:i w:val="0"/>
          <w:color w:val="000000"/>
          <w:sz w:val="20"/>
        </w:rPr>
        <w:t>liable to a fine not exceeding rupees five hundred thousand.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8" w:after="25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In any proceedings under this section, the Court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order as to the costs, and charges and expenses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for the hearing and the issue of writ, as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deem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execution of any final order made by the Court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stayed unless there is a specific stay order made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final order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competent higher court under section 12.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stayed</w:t>
            </w:r>
          </w:p>
        </w:tc>
      </w:tr>
    </w:tbl>
    <w:p>
      <w:pPr>
        <w:autoSpaceDN w:val="0"/>
        <w:autoSpaceDE w:val="0"/>
        <w:widowControl/>
        <w:spacing w:line="266" w:lineRule="auto" w:before="210" w:after="0"/>
        <w:ind w:left="1798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 order for the stay of execution shall not be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higher court without notice to the petitioner in whose </w:t>
      </w:r>
      <w:r>
        <w:rPr>
          <w:rFonts w:ascii="Times" w:hAnsi="Times" w:eastAsia="Times"/>
          <w:b w:val="0"/>
          <w:i w:val="0"/>
          <w:color w:val="000000"/>
          <w:sz w:val="20"/>
        </w:rPr>
        <w:t>favour the Court made the final order.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aggrieved by a final order made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2" w:after="236"/>
        <w:ind w:left="17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may prefer an appeal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 (1) of section 754 of the Civil </w:t>
      </w:r>
      <w:r>
        <w:rPr>
          <w:rFonts w:ascii="Times" w:hAnsi="Times" w:eastAsia="Times"/>
          <w:b w:val="0"/>
          <w:i w:val="0"/>
          <w:color w:val="000000"/>
          <w:sz w:val="20"/>
        </w:rPr>
        <w:t>Procedure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 –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9" w:lineRule="auto" w:before="254" w:after="0"/>
        <w:ind w:left="19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“Civil Procedure Code” means the Civil Procedure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(Chapter 101);</w:t>
      </w:r>
    </w:p>
    <w:p>
      <w:pPr>
        <w:autoSpaceDN w:val="0"/>
        <w:autoSpaceDE w:val="0"/>
        <w:widowControl/>
        <w:spacing w:line="238" w:lineRule="auto" w:before="31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“Court” means the District Court having jurisdiction;</w:t>
      </w:r>
    </w:p>
    <w:p>
      <w:pPr>
        <w:autoSpaceDN w:val="0"/>
        <w:tabs>
          <w:tab w:pos="1378" w:val="left"/>
          <w:tab w:pos="1944" w:val="left"/>
          <w:tab w:pos="2422" w:val="left"/>
        </w:tabs>
        <w:autoSpaceDE w:val="0"/>
        <w:widowControl/>
        <w:spacing w:line="276" w:lineRule="auto" w:before="31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“eject” in relation to the occupant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premises, means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deprive, by using direct or indirect methods,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occupant of his right to use and occupy the whole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of such premises in contravention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the lease agreement or tenancy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entered into between the landlord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occupant;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74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“essential supplies or utility services” includes supply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water, electricity, sewerage, cooking gas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lights including lights in passages and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staircases, lifts and conservancy or sanitary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74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“landlord” in relation to any premises, means the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receive the rent of the premises from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occupant, and includes an occupant who lets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or any part thereof to a subtenant,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written consent of the original landlord;</w:t>
      </w:r>
    </w:p>
    <w:p>
      <w:pPr>
        <w:autoSpaceDN w:val="0"/>
        <w:autoSpaceDE w:val="0"/>
        <w:widowControl/>
        <w:spacing w:line="262" w:lineRule="auto" w:before="318" w:after="0"/>
        <w:ind w:left="2422" w:right="2448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“lessee” shall have the same meaning as in the Recovery </w:t>
      </w:r>
      <w:r>
        <w:rPr>
          <w:rFonts w:ascii="Times" w:hAnsi="Times" w:eastAsia="Times"/>
          <w:b w:val="0"/>
          <w:i w:val="0"/>
          <w:color w:val="000000"/>
          <w:sz w:val="20"/>
        </w:rPr>
        <w:t>of Possession of Premises Given on Lease Act, No.</w:t>
      </w:r>
    </w:p>
    <w:p>
      <w:pPr>
        <w:autoSpaceDN w:val="0"/>
        <w:autoSpaceDE w:val="0"/>
        <w:widowControl/>
        <w:spacing w:line="235" w:lineRule="auto" w:before="50" w:after="0"/>
        <w:ind w:left="0" w:right="5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of 2023;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1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</w:p>
        </w:tc>
      </w:tr>
      <w:tr>
        <w:trPr>
          <w:trHeight w:hRule="exact" w:val="1644"/>
        </w:trPr>
        <w:tc>
          <w:tcPr>
            <w:tcW w:type="dxa" w:w="3007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718" w:right="118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“occupation” in relation to a premises or any part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premises, means having entered into occupation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premises as a lessee or tenant under a lease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 or tenancy agreement with the landlord,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continues to be in occupation with the consent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landlord for a particular period of time; and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6"/>
        <w:ind w:left="2518" w:right="240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“possession” and “premises” shall have the same meaning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in the Recovery of Possession of Premises Given </w:t>
      </w:r>
      <w:r>
        <w:rPr>
          <w:rFonts w:ascii="Times" w:hAnsi="Times" w:eastAsia="Times"/>
          <w:b w:val="0"/>
          <w:i w:val="0"/>
          <w:color w:val="000000"/>
          <w:sz w:val="20"/>
        </w:rPr>
        <w:t>on Lease Act, No. 1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inconsisteney</w:t>
      </w:r>
    </w:p>
    <w:p>
      <w:pPr>
        <w:autoSpaceDN w:val="0"/>
        <w:autoSpaceDE w:val="0"/>
        <w:widowControl/>
        <w:spacing w:line="235" w:lineRule="auto" w:before="186" w:after="0"/>
        <w:ind w:left="0" w:right="437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SCHEDULE</w:t>
      </w:r>
    </w:p>
    <w:p>
      <w:pPr>
        <w:autoSpaceDN w:val="0"/>
        <w:tabs>
          <w:tab w:pos="5638" w:val="left"/>
        </w:tabs>
        <w:autoSpaceDE w:val="0"/>
        <w:widowControl/>
        <w:spacing w:line="300" w:lineRule="auto" w:before="124" w:after="0"/>
        <w:ind w:left="395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FORM </w:t>
      </w:r>
      <w:r>
        <w:rPr>
          <w:rFonts w:ascii="Times" w:hAnsi="Times" w:eastAsia="Times"/>
          <w:b w:val="0"/>
          <w:i w:val="0"/>
          <w:color w:val="000000"/>
          <w:sz w:val="16"/>
        </w:rPr>
        <w:t>[Section 10(2]</w:t>
      </w:r>
    </w:p>
    <w:p>
      <w:pPr>
        <w:autoSpaceDN w:val="0"/>
        <w:autoSpaceDE w:val="0"/>
        <w:widowControl/>
        <w:spacing w:line="259" w:lineRule="auto" w:before="246" w:after="0"/>
        <w:ind w:left="1728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REPORT TO COURT BY THE FISCAL OF RESISTANCE AND </w:t>
      </w:r>
      <w:r>
        <w:rPr>
          <w:rFonts w:ascii="Times,Bold" w:hAnsi="Times,Bold" w:eastAsia="Times,Bold"/>
          <w:b/>
          <w:i w:val="0"/>
          <w:color w:val="000000"/>
          <w:sz w:val="16"/>
        </w:rPr>
        <w:t>OBSTRUCTION</w:t>
      </w:r>
    </w:p>
    <w:p>
      <w:pPr>
        <w:autoSpaceDN w:val="0"/>
        <w:autoSpaceDE w:val="0"/>
        <w:widowControl/>
        <w:spacing w:line="238" w:lineRule="auto" w:before="24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the Judge of the District Court of ………………</w:t>
      </w:r>
    </w:p>
    <w:p>
      <w:pPr>
        <w:autoSpaceDN w:val="0"/>
        <w:autoSpaceDE w:val="0"/>
        <w:widowControl/>
        <w:spacing w:line="276" w:lineRule="auto" w:before="246" w:after="0"/>
        <w:ind w:left="1796" w:right="24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I, ……………………………….,</w:t>
      </w:r>
      <w:r>
        <w:rPr>
          <w:rFonts w:ascii="Times" w:hAnsi="Times" w:eastAsia="Times"/>
          <w:b w:val="0"/>
          <w:i w:val="0"/>
          <w:color w:val="000000"/>
          <w:sz w:val="16"/>
        </w:rPr>
        <w:t>the Fiscal of the District Court of</w:t>
      </w:r>
      <w:r>
        <w:rPr>
          <w:rFonts w:ascii="Times" w:hAnsi="Times" w:eastAsia="Times"/>
          <w:b w:val="0"/>
          <w:i w:val="0"/>
          <w:color w:val="000000"/>
          <w:sz w:val="16"/>
        </w:rPr>
        <w:t>…………, do hereby report to the court that on the ………. day of</w:t>
      </w:r>
      <w:r>
        <w:rPr>
          <w:rFonts w:ascii="Times" w:hAnsi="Times" w:eastAsia="Times"/>
          <w:b w:val="0"/>
          <w:i w:val="0"/>
          <w:color w:val="000000"/>
          <w:sz w:val="16"/>
        </w:rPr>
        <w:t>…………20**, …………………….. 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name of the respondent and/ or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other person who caused resistance and/ or obstruction) 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……………………………… caused resistance and/or obstruction to </w:t>
      </w:r>
      <w:r>
        <w:rPr>
          <w:rFonts w:ascii="Times" w:hAnsi="Times" w:eastAsia="Times"/>
          <w:b w:val="0"/>
          <w:i w:val="0"/>
          <w:color w:val="000000"/>
          <w:sz w:val="16"/>
        </w:rPr>
        <w:t>me by ………………………………….…………………………………</w:t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describe the manner in which the resistance and/or obstruction was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caused</w:t>
      </w:r>
      <w:r>
        <w:rPr>
          <w:rFonts w:ascii="Times" w:hAnsi="Times" w:eastAsia="Times"/>
          <w:b w:val="0"/>
          <w:i w:val="0"/>
          <w:color w:val="000000"/>
          <w:sz w:val="16"/>
        </w:rPr>
        <w:t>), while executing the final order of the court made on the</w:t>
      </w:r>
      <w:r>
        <w:rPr>
          <w:rFonts w:ascii="Times" w:hAnsi="Times" w:eastAsia="Times"/>
          <w:b w:val="0"/>
          <w:i w:val="0"/>
          <w:color w:val="000000"/>
          <w:sz w:val="16"/>
        </w:rPr>
        <w:t>…….day of 20** to restore  ……………………………………..(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name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of the petitioner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into  vacant possession of the premises referred to in </w:t>
      </w:r>
      <w:r>
        <w:rPr>
          <w:rFonts w:ascii="Times" w:hAnsi="Times" w:eastAsia="Times"/>
          <w:b w:val="0"/>
          <w:i w:val="0"/>
          <w:color w:val="000000"/>
          <w:sz w:val="16"/>
        </w:rPr>
        <w:t>the Schedule hereto.</w:t>
      </w:r>
    </w:p>
    <w:p>
      <w:pPr>
        <w:autoSpaceDN w:val="0"/>
        <w:autoSpaceDE w:val="0"/>
        <w:widowControl/>
        <w:spacing w:line="235" w:lineRule="auto" w:before="2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  <w:u w:val="single"/>
        </w:rPr>
        <w:t>The Schedule of the premises above referred to</w:t>
      </w:r>
    </w:p>
    <w:p>
      <w:pPr>
        <w:autoSpaceDN w:val="0"/>
        <w:tabs>
          <w:tab w:pos="5186" w:val="left"/>
        </w:tabs>
        <w:autoSpaceDE w:val="0"/>
        <w:widowControl/>
        <w:spacing w:line="257" w:lineRule="auto" w:before="250" w:after="0"/>
        <w:ind w:left="439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(signed) ……………………………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(Name of the Fiscal)</w:t>
      </w:r>
    </w:p>
    <w:p>
      <w:pPr>
        <w:autoSpaceDN w:val="0"/>
        <w:autoSpaceDE w:val="0"/>
        <w:widowControl/>
        <w:spacing w:line="238" w:lineRule="auto" w:before="28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this ………………. day of ………………………., 20**.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608"/>
        </w:trPr>
        <w:tc>
          <w:tcPr>
            <w:tcW w:type="dxa" w:w="121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6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03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