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SHOP AND OFFICE EMPLOYEES (REGULATION OF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AND REMUNERATION)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3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7" w:lineRule="auto" w:before="31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Shop and Office Employees (Regulation of Employment </w:t>
      </w:r>
      <w:r>
        <w:rPr>
          <w:rFonts w:ascii="Times,Bold" w:hAnsi="Times,Bold" w:eastAsia="Times,Bold"/>
          <w:b/>
          <w:i w:val="0"/>
          <w:color w:val="000000"/>
          <w:sz w:val="20"/>
        </w:rPr>
        <w:t>and Remuneration) Act (Chapter 129)</w:t>
      </w:r>
    </w:p>
    <w:p>
      <w:pPr>
        <w:autoSpaceDN w:val="0"/>
        <w:autoSpaceDE w:val="0"/>
        <w:widowControl/>
        <w:spacing w:line="238" w:lineRule="auto" w:before="14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90" w:after="0"/>
        <w:ind w:left="2016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(Dr.) (Mrs.) Sudarshini Fernandopulle,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Gampaha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13, 2024)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291]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4" w:lineRule="auto" w:before="2" w:after="0"/>
        <w:ind w:left="172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(Regulation of Employment and Remuneration)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HOP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EGULATION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EMUNERATION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129)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Shop and Office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Employees (Regulation of Employment and Remuneration)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of 2024.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Shop and Office Employees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(Regulation of Employment and Remuneration) Act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129) is hereby amended by the insertion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129.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follows:-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18" w:after="266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days from the date of miscarriage,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miscarriage occurs in the first twenty eighth weeks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pregnancy;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days from the date of termination of pregnancy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legal or medical grounds.”.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60" w:right="288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(Regulation of Employment and Remuneration)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87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