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23,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28.08.2024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394" w:after="0"/>
        <w:ind w:left="2304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 xml:space="preserve">NATIONAL TRANSPORT COMMISSION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>(AMENDMENT)</w:t>
      </w:r>
    </w:p>
    <w:p>
      <w:pPr>
        <w:autoSpaceDN w:val="0"/>
        <w:autoSpaceDE w:val="0"/>
        <w:widowControl/>
        <w:spacing w:line="235" w:lineRule="auto" w:before="18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2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National Transport Commission Act, No. 37 of 1991</w:t>
      </w:r>
    </w:p>
    <w:p>
      <w:pPr>
        <w:autoSpaceDN w:val="0"/>
        <w:autoSpaceDE w:val="0"/>
        <w:widowControl/>
        <w:spacing w:line="235" w:lineRule="auto" w:before="384" w:after="0"/>
        <w:ind w:left="175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Transport and Highways</w:t>
      </w:r>
    </w:p>
    <w:p>
      <w:pPr>
        <w:autoSpaceDN w:val="0"/>
        <w:autoSpaceDE w:val="0"/>
        <w:widowControl/>
        <w:spacing w:line="238" w:lineRule="auto" w:before="5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48.00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6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594" w:after="0"/>
        <w:ind w:left="1422" w:right="155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the long title of the National Transport Commission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Act, No. 37 of 1991 (hereinafter referred to as the "principal enactment") and such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amendment is consequential to the amendment made by Part IIA by clause 16 and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legal effect of the section as amended is to broaden the scope of its functions to all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transportation services and not to limit to omnibus services.</w:t>
      </w:r>
    </w:p>
    <w:p>
      <w:pPr>
        <w:autoSpaceDN w:val="0"/>
        <w:autoSpaceDE w:val="0"/>
        <w:widowControl/>
        <w:spacing w:line="192" w:lineRule="exact" w:before="200" w:after="0"/>
        <w:ind w:left="1422" w:right="155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3: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the preamble of the principal enactment by specifying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scope of the Act, in terms of road transportation services and provides for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standards and criteria to improve road transportation.</w:t>
      </w:r>
    </w:p>
    <w:p>
      <w:pPr>
        <w:autoSpaceDN w:val="0"/>
        <w:autoSpaceDE w:val="0"/>
        <w:widowControl/>
        <w:spacing w:line="192" w:lineRule="exact" w:before="198" w:after="0"/>
        <w:ind w:left="1422" w:right="155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4: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section 1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to the principal enactment. The new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section provides for the objects of the Act in relation to the services provided,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standards to be maintained and penal consequences to be imposed.</w:t>
      </w:r>
    </w:p>
    <w:p>
      <w:pPr>
        <w:autoSpaceDN w:val="0"/>
        <w:autoSpaceDE w:val="0"/>
        <w:widowControl/>
        <w:spacing w:line="192" w:lineRule="exact" w:before="202" w:after="0"/>
        <w:ind w:left="1422" w:right="155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5: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8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expand the scope of the functions of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Commission addressing the current requirements of public transportation and to provide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for the upgrading of the service provided.</w:t>
      </w:r>
    </w:p>
    <w:p>
      <w:pPr>
        <w:autoSpaceDN w:val="0"/>
        <w:tabs>
          <w:tab w:pos="1662" w:val="left"/>
        </w:tabs>
        <w:autoSpaceDE w:val="0"/>
        <w:widowControl/>
        <w:spacing w:line="192" w:lineRule="exact" w:before="200" w:after="0"/>
        <w:ind w:left="1422" w:right="1440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6: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9 of the principal enactment and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consequential to the insertion of new PART IIA by clause 16.</w:t>
      </w:r>
    </w:p>
    <w:p>
      <w:pPr>
        <w:autoSpaceDN w:val="0"/>
        <w:tabs>
          <w:tab w:pos="1662" w:val="left"/>
        </w:tabs>
        <w:autoSpaceDE w:val="0"/>
        <w:widowControl/>
        <w:spacing w:line="192" w:lineRule="exact" w:before="198" w:after="0"/>
        <w:ind w:left="1422" w:right="1440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7: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17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insertion of new PART IIA by clause 16.</w:t>
      </w:r>
    </w:p>
    <w:p>
      <w:pPr>
        <w:autoSpaceDN w:val="0"/>
        <w:tabs>
          <w:tab w:pos="1662" w:val="left"/>
        </w:tabs>
        <w:autoSpaceDE w:val="0"/>
        <w:widowControl/>
        <w:spacing w:line="192" w:lineRule="exact" w:before="202" w:after="118"/>
        <w:ind w:left="1422" w:right="1440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8: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19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effect of the section as amended is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1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(1)</w:t>
            </w:r>
          </w:p>
          <w:p>
            <w:pPr>
              <w:autoSpaceDN w:val="0"/>
              <w:autoSpaceDE w:val="0"/>
              <w:widowControl/>
              <w:spacing w:line="212" w:lineRule="exact" w:before="562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(2)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84" w:right="772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increase the time period of an appeal to the Commission against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decision of an Authorized Person in relation to matters pertaining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passenger service permit; and</w:t>
            </w:r>
          </w:p>
          <w:p>
            <w:pPr>
              <w:autoSpaceDN w:val="0"/>
              <w:autoSpaceDE w:val="0"/>
              <w:widowControl/>
              <w:spacing w:line="212" w:lineRule="exact" w:before="17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substitute the marginal note to that section.</w:t>
            </w:r>
          </w:p>
        </w:tc>
      </w:tr>
    </w:tbl>
    <w:p>
      <w:pPr>
        <w:autoSpaceDN w:val="0"/>
        <w:autoSpaceDE w:val="0"/>
        <w:widowControl/>
        <w:spacing w:line="192" w:lineRule="exact" w:before="142" w:after="0"/>
        <w:ind w:left="1422" w:right="1548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9: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20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increase the time period of an appeal against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decision of the Commission.</w:t>
      </w:r>
    </w:p>
    <w:p>
      <w:pPr>
        <w:autoSpaceDN w:val="0"/>
        <w:autoSpaceDE w:val="0"/>
        <w:widowControl/>
        <w:spacing w:line="192" w:lineRule="exact" w:before="200" w:after="0"/>
        <w:ind w:left="1422" w:right="155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10: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replaces section 24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provide for a better evaluation criteria for issuing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passenger service permits.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192" w:lineRule="exact" w:before="20" w:after="0"/>
        <w:ind w:left="1436" w:right="129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11: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section 24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to the principal enactment. The new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section provides for the issuing of a temporary permit.</w:t>
      </w:r>
    </w:p>
    <w:p>
      <w:pPr>
        <w:autoSpaceDN w:val="0"/>
        <w:autoSpaceDE w:val="0"/>
        <w:widowControl/>
        <w:spacing w:line="192" w:lineRule="exact" w:before="20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26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provide for compliance with the minimum standards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and to ensure the safety and convenience of the passengers.</w:t>
      </w:r>
    </w:p>
    <w:p>
      <w:pPr>
        <w:autoSpaceDN w:val="0"/>
        <w:autoSpaceDE w:val="0"/>
        <w:widowControl/>
        <w:spacing w:line="192" w:lineRule="exact" w:before="200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13: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replaces section 28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replaced is to provide for the transfer of a passenger service permit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when the possession of the omnibus is transferred.</w:t>
      </w:r>
    </w:p>
    <w:p>
      <w:pPr>
        <w:autoSpaceDN w:val="0"/>
        <w:autoSpaceDE w:val="0"/>
        <w:widowControl/>
        <w:spacing w:line="192" w:lineRule="exact" w:before="198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14: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30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this section as amended is to add further conditions subject to which the permit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is renewed under this section.</w:t>
      </w:r>
    </w:p>
    <w:p>
      <w:pPr>
        <w:autoSpaceDN w:val="0"/>
        <w:autoSpaceDE w:val="0"/>
        <w:widowControl/>
        <w:spacing w:line="192" w:lineRule="exact" w:before="20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15: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33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this section as amended is to increase the time period of an appeal to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Secretary to the Ministry of the Minister against the decision of the Commission refusing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grant of a passenger service permit, renewing the permit, cancelling a passenger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service permit or imposing conditions subject to which a permit is granted and to repeal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and substitute the marginal note to that section.</w:t>
      </w:r>
    </w:p>
    <w:p>
      <w:pPr>
        <w:autoSpaceDN w:val="0"/>
        <w:autoSpaceDE w:val="0"/>
        <w:widowControl/>
        <w:spacing w:line="192" w:lineRule="exact" w:before="200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16: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part to the principal enactment (PART IIA). This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new Part provides for the regulation of transportation services operated interprovincially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other than interprovincial omnibus services, and includes new section 34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(Declaration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and registration of transportation services), section 34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(Categorization of transportation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services and the issue of a certificate), section 34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(Certificate to be displayed on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windscreen) and section 34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(Appeals under PART IIA of the Act).</w:t>
      </w:r>
    </w:p>
    <w:p>
      <w:pPr>
        <w:autoSpaceDN w:val="0"/>
        <w:autoSpaceDE w:val="0"/>
        <w:widowControl/>
        <w:spacing w:line="192" w:lineRule="exact" w:before="198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17: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35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facilitate the payment into the Fund of the sums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directed by a court, under any other written law or by a Magistrate.</w:t>
      </w:r>
    </w:p>
    <w:p>
      <w:pPr>
        <w:autoSpaceDN w:val="0"/>
        <w:autoSpaceDE w:val="0"/>
        <w:widowControl/>
        <w:spacing w:line="192" w:lineRule="exact" w:before="20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18: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37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make the provisions to audit the accounts of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Commission.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200" w:after="0"/>
        <w:ind w:left="1436" w:right="129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19: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section 38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to the principal enactment. The new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section provides for the computation of the transportation service fares.</w:t>
      </w:r>
    </w:p>
    <w:p>
      <w:pPr>
        <w:autoSpaceDN w:val="0"/>
        <w:autoSpaceDE w:val="0"/>
        <w:widowControl/>
        <w:spacing w:line="192" w:lineRule="exact" w:before="198" w:after="0"/>
        <w:ind w:left="1438" w:right="1342" w:firstLine="238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20: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new sections to the principal enactment. The new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section 38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requires the Commission to monitor omnibus services and transportation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services, section 38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provides for the establishment of a training centre and section 38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 xml:space="preserve">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provides for codes of conduct.</w:t>
      </w:r>
    </w:p>
    <w:p>
      <w:pPr>
        <w:autoSpaceDN w:val="0"/>
        <w:autoSpaceDE w:val="0"/>
        <w:widowControl/>
        <w:spacing w:line="192" w:lineRule="exact" w:before="20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21: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replaces section 39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replaced enables directions to be issued to permit holders and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procedure for appeal relating to such directions.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200" w:after="0"/>
        <w:ind w:left="1436" w:right="129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section 39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to the principal enactment. The new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section provides for the inclusion of penalties.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autoSpaceDE w:val="0"/>
        <w:widowControl/>
        <w:spacing w:line="192" w:lineRule="exact" w:before="2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23: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40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increase the minimum fine impose a maximum fine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and decrease the period of imprisonment.</w:t>
      </w:r>
    </w:p>
    <w:p>
      <w:pPr>
        <w:autoSpaceDN w:val="0"/>
        <w:autoSpaceDE w:val="0"/>
        <w:widowControl/>
        <w:spacing w:line="192" w:lineRule="exact" w:before="202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24: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44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increase the matters for which regulations may be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made.</w:t>
      </w:r>
    </w:p>
    <w:p>
      <w:pPr>
        <w:autoSpaceDN w:val="0"/>
        <w:autoSpaceDE w:val="0"/>
        <w:widowControl/>
        <w:spacing w:line="192" w:lineRule="exact" w:before="20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25: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46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for improved facilities to be provided for certain routes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qualify for obtaining a passenger service permit.</w:t>
      </w:r>
    </w:p>
    <w:p>
      <w:pPr>
        <w:autoSpaceDN w:val="0"/>
        <w:autoSpaceDE w:val="0"/>
        <w:widowControl/>
        <w:spacing w:line="192" w:lineRule="exact" w:before="198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26: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49 of the principal enactment by the insertion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the new definitions "prescribed", "Province", "Provincial Council", "transportation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fares", "transportation services", "transportation vehicle" and "vehicle", and by amending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the definition of "specified area".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7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9/2021</w:t>
      </w:r>
    </w:p>
    <w:p>
      <w:pPr>
        <w:autoSpaceDN w:val="0"/>
        <w:autoSpaceDE w:val="0"/>
        <w:widowControl/>
        <w:spacing w:line="264" w:lineRule="auto" w:before="32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RANSPORT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1991</w:t>
      </w:r>
    </w:p>
    <w:p>
      <w:pPr>
        <w:autoSpaceDN w:val="0"/>
        <w:autoSpaceDE w:val="0"/>
        <w:widowControl/>
        <w:spacing w:line="264" w:lineRule="auto" w:before="3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64" w:lineRule="auto" w:before="324" w:after="254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(Amendment)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ong title of the National Transport Commission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37 of 1991 (hereinafter referred to as the “principal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long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title of Act,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37 of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“PASSENGER TRANSPORTATION BY OMNIBUS”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1991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6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words “ROAD TRANSPORTATION”.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Preamble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preamble of</w:t>
            </w:r>
          </w:p>
        </w:tc>
      </w:tr>
    </w:tbl>
    <w:p>
      <w:pPr>
        <w:autoSpaceDN w:val="0"/>
        <w:tabs>
          <w:tab w:pos="6718" w:val="left"/>
        </w:tabs>
        <w:autoSpaceDE w:val="0"/>
        <w:widowControl/>
        <w:spacing w:line="250" w:lineRule="auto" w:before="6" w:after="0"/>
        <w:ind w:left="217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principal </w:t>
      </w:r>
      <w:r>
        <w:rPr>
          <w:rFonts w:ascii="Times" w:hAnsi="Times" w:eastAsia="Times"/>
          <w:b w:val="0"/>
          <w:i w:val="0"/>
          <w:color w:val="000000"/>
          <w:sz w:val="20"/>
        </w:rPr>
        <w:t>(1)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the substitution for the </w:t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64" w:lineRule="auto" w:before="4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“omnibus services”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“interprovincial omnibus services”;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4" w:lineRule="auto" w:before="32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paragraph: -</w:t>
      </w:r>
    </w:p>
    <w:p>
      <w:pPr>
        <w:autoSpaceDN w:val="0"/>
        <w:tabs>
          <w:tab w:pos="2438" w:val="left"/>
          <w:tab w:pos="3016" w:val="left"/>
        </w:tabs>
        <w:autoSpaceDE w:val="0"/>
        <w:widowControl/>
        <w:spacing w:line="281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facilitate road transportation services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interprovincially using omnibus services,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transport services, school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three-wheeler services and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interprovincial road transportation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service, as may be declared by the Minister;”;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autoSpaceDE w:val="0"/>
        <w:widowControl/>
        <w:spacing w:line="262" w:lineRule="auto" w:before="554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the substitution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"passenger transport by omnibus"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"road transportation";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9" w:lineRule="auto" w:before="29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"between providers of such services"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 "in each mode of transportation"; and</w:t>
      </w:r>
    </w:p>
    <w:p>
      <w:pPr>
        <w:autoSpaceDN w:val="0"/>
        <w:autoSpaceDE w:val="0"/>
        <w:widowControl/>
        <w:spacing w:line="257" w:lineRule="auto" w:before="290" w:after="0"/>
        <w:ind w:left="242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paragraphs: -</w:t>
      </w:r>
    </w:p>
    <w:p>
      <w:pPr>
        <w:autoSpaceDN w:val="0"/>
        <w:tabs>
          <w:tab w:pos="2482" w:val="left"/>
          <w:tab w:pos="2902" w:val="left"/>
        </w:tabs>
        <w:autoSpaceDE w:val="0"/>
        <w:widowControl/>
        <w:spacing w:line="262" w:lineRule="auto" w:before="29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ensure safe and comfortable road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transportation; and</w:t>
      </w:r>
    </w:p>
    <w:p>
      <w:pPr>
        <w:autoSpaceDN w:val="0"/>
        <w:autoSpaceDE w:val="0"/>
        <w:widowControl/>
        <w:spacing w:line="257" w:lineRule="auto" w:before="280" w:after="230"/>
        <w:ind w:left="259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determine the applicable standards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criteria to improve road transportation.”.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 of the principal enactment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12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"Objects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Act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objects of the Act shall be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60" w:after="0"/>
        <w:ind w:left="36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facilitate omnibus services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 services inter-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provincially;</w:t>
      </w:r>
    </w:p>
    <w:p>
      <w:pPr>
        <w:autoSpaceDN w:val="0"/>
        <w:tabs>
          <w:tab w:pos="3278" w:val="left"/>
          <w:tab w:pos="3622" w:val="left"/>
        </w:tabs>
        <w:autoSpaceDE w:val="0"/>
        <w:widowControl/>
        <w:spacing w:line="259" w:lineRule="auto" w:before="294" w:after="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monitor omnibus services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services and ensure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standards applicable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transportation service providers;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20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stipulate offences that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by the respective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transportation service providers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560" w:after="222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penal sanctions that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Commission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offences.".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principal enactment is hereby amended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8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 for the words "advise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on the national policy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passenger transport services by omnibuses,"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"advise the Government on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policy relating to road transportation,";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4" w:lineRule="auto" w:before="27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the substitution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"in the specified area;" of the words "in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area and to issue transportation service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permits for transportation services other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omnibus services;";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paragraph:-</w:t>
      </w:r>
    </w:p>
    <w:p>
      <w:pPr>
        <w:autoSpaceDN w:val="0"/>
        <w:autoSpaceDE w:val="0"/>
        <w:widowControl/>
        <w:spacing w:line="254" w:lineRule="auto" w:before="294" w:after="0"/>
        <w:ind w:left="2998" w:right="2304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to enter into agreements with any person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 of omnibus services and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services and to issue passenger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permits and transportation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permits thereof;”;</w:t>
      </w:r>
    </w:p>
    <w:p>
      <w:pPr>
        <w:autoSpaceDN w:val="0"/>
        <w:autoSpaceDE w:val="0"/>
        <w:widowControl/>
        <w:spacing w:line="254" w:lineRule="auto" w:before="294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paragraph: -</w:t>
      </w:r>
    </w:p>
    <w:p>
      <w:pPr>
        <w:autoSpaceDN w:val="0"/>
        <w:tabs>
          <w:tab w:pos="2532" w:val="left"/>
          <w:tab w:pos="299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)  to arrange the transportation of goods inter-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provincially by omnibus services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 services;”;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49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paragraphs: -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92" w:after="0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formulate a road transportation guideline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national level;</w:t>
      </w:r>
    </w:p>
    <w:p>
      <w:pPr>
        <w:autoSpaceDN w:val="0"/>
        <w:tabs>
          <w:tab w:pos="1458" w:val="left"/>
          <w:tab w:pos="2558" w:val="left"/>
          <w:tab w:pos="2902" w:val="left"/>
        </w:tabs>
        <w:autoSpaceDE w:val="0"/>
        <w:widowControl/>
        <w:spacing w:line="266" w:lineRule="auto" w:before="29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determine a formula to charge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fares after considering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representations of the relevant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stakeholders and to periodically assess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policy relating to road transportation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revise such formula when necessary;</w:t>
      </w:r>
    </w:p>
    <w:p>
      <w:pPr>
        <w:autoSpaceDN w:val="0"/>
        <w:autoSpaceDE w:val="0"/>
        <w:widowControl/>
        <w:spacing w:line="259" w:lineRule="auto" w:before="292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promote and regulate the use of modern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technological systems to upgrade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 system;</w:t>
      </w:r>
    </w:p>
    <w:p>
      <w:pPr>
        <w:autoSpaceDN w:val="0"/>
        <w:autoSpaceDE w:val="0"/>
        <w:widowControl/>
        <w:spacing w:line="238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) to facilitate the provision of infrastructure</w:t>
      </w:r>
    </w:p>
    <w:p>
      <w:pPr>
        <w:autoSpaceDN w:val="0"/>
        <w:tabs>
          <w:tab w:pos="2902" w:val="left"/>
        </w:tabs>
        <w:autoSpaceDE w:val="0"/>
        <w:widowControl/>
        <w:spacing w:line="293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facilities relating to transportation services;</w:t>
      </w:r>
    </w:p>
    <w:p>
      <w:pPr>
        <w:autoSpaceDN w:val="0"/>
        <w:autoSpaceDE w:val="0"/>
        <w:widowControl/>
        <w:spacing w:line="264" w:lineRule="auto" w:before="240" w:after="0"/>
        <w:ind w:left="2902" w:right="2516" w:hanging="31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maintain a national database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services and to monitor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provided by the transportation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providers;</w:t>
      </w:r>
    </w:p>
    <w:p>
      <w:pPr>
        <w:autoSpaceDN w:val="0"/>
        <w:tabs>
          <w:tab w:pos="2588" w:val="left"/>
          <w:tab w:pos="2902" w:val="left"/>
        </w:tabs>
        <w:autoSpaceDE w:val="0"/>
        <w:widowControl/>
        <w:spacing w:line="257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establish a training centre to train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 service providers;</w:t>
      </w:r>
    </w:p>
    <w:p>
      <w:pPr>
        <w:autoSpaceDN w:val="0"/>
        <w:autoSpaceDE w:val="0"/>
        <w:widowControl/>
        <w:spacing w:line="259" w:lineRule="auto" w:before="290" w:after="234"/>
        <w:ind w:left="290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directions to any person to whom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 has been issued or renewed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4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appoint sub-committees to assist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of the Commission specified in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4" w:lineRule="auto" w:before="522" w:after="230"/>
        <w:ind w:left="299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review the national policy relating to 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annually and to advise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on legal, administrative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 relating to such policy;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56" w:right="1152" w:hanging="37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consult the relevant Ministries, Provincial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Councils, local authorities, District and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Divisional Secretaries, public and private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 organizations and recommend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measures as may be necessary for the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preventing road accidents, and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upgrading the transportation services for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protecting and safeguarding the interests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passengers;</w:t>
      </w:r>
    </w:p>
    <w:p>
      <w:pPr>
        <w:autoSpaceDN w:val="0"/>
        <w:autoSpaceDE w:val="0"/>
        <w:widowControl/>
        <w:spacing w:line="238" w:lineRule="auto" w:before="294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) to receive complaints from the public relating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76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any contravention of the 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regulation made thereunder; and</w:t>
            </w:r>
          </w:p>
        </w:tc>
      </w:tr>
    </w:tbl>
    <w:p>
      <w:pPr>
        <w:autoSpaceDN w:val="0"/>
        <w:tabs>
          <w:tab w:pos="2666" w:val="left"/>
          <w:tab w:pos="2996" w:val="left"/>
        </w:tabs>
        <w:autoSpaceDE w:val="0"/>
        <w:widowControl/>
        <w:spacing w:line="264" w:lineRule="auto" w:before="23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give wide publicity to matters regulated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44, as may be necessary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convenience of any applicant, passenger,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 of a permit or certificate, or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efficient administration of the Act.''.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and the substitution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paragraph: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provide engineering, technical, legal,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66" w:lineRule="auto" w:before="1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medical and financial assistance and 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holders of passenger service permits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 permits, to enable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discharge, of their functions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omnibus services and transportation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services; and”.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"to furnish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17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Commission," of the words "or a transportation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permit, as the case may be, to furnish to the Commission".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subsection (1) thereof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“within fourteen days" of the words "within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thirty days”; 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60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by the repeal of the marginal note to that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of the following marginal note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therefor:-</w:t>
      </w:r>
    </w:p>
    <w:p>
      <w:pPr>
        <w:autoSpaceDN w:val="0"/>
        <w:autoSpaceDE w:val="0"/>
        <w:widowControl/>
        <w:spacing w:line="235" w:lineRule="auto" w:before="300" w:after="2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“Appeals against any decision of an Athorized 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thereof by the substitution for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20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“fourteen days”, of the words “thirty days”.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24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“Criteria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issuing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passenger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permits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4" w:after="0"/>
              <w:ind w:left="14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24. (1) Upon receipt of an 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passenger service permit,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consider the following criteria prior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granting or refusing passenger service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9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permits:-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278" w:val="left"/>
          <w:tab w:pos="3622" w:val="left"/>
        </w:tabs>
        <w:autoSpaceDE w:val="0"/>
        <w:widowControl/>
        <w:spacing w:line="259" w:lineRule="auto" w:before="20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demand for omnibus services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on the route or routes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applied for in the application;</w:t>
      </w:r>
    </w:p>
    <w:p>
      <w:pPr>
        <w:autoSpaceDN w:val="0"/>
        <w:autoSpaceDE w:val="0"/>
        <w:widowControl/>
        <w:spacing w:line="257" w:lineRule="auto" w:before="296" w:after="0"/>
        <w:ind w:left="362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capability of the applicant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 an efficient service, subject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4" w:lineRule="auto" w:before="488" w:after="0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terms and conditions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appropriate;</w:t>
      </w:r>
    </w:p>
    <w:p>
      <w:pPr>
        <w:autoSpaceDN w:val="0"/>
        <w:autoSpaceDE w:val="0"/>
        <w:widowControl/>
        <w:spacing w:line="254" w:lineRule="auto" w:before="292" w:after="0"/>
        <w:ind w:left="3716" w:right="2304" w:hanging="33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suitability of the omnibus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undertake the journeys on any</w:t>
      </w:r>
    </w:p>
    <w:p>
      <w:pPr>
        <w:autoSpaceDN w:val="0"/>
        <w:tabs>
          <w:tab w:pos="3716" w:val="left"/>
        </w:tabs>
        <w:autoSpaceDE w:val="0"/>
        <w:widowControl/>
        <w:spacing w:line="281" w:lineRule="auto" w:before="32" w:after="0"/>
        <w:ind w:left="15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assignable route or routes;</w:t>
      </w:r>
    </w:p>
    <w:p>
      <w:pPr>
        <w:autoSpaceDN w:val="0"/>
        <w:autoSpaceDE w:val="0"/>
        <w:widowControl/>
        <w:spacing w:line="264" w:lineRule="auto" w:before="252" w:after="16"/>
        <w:ind w:left="371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sustained financial competence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applicant, based on a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covering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preceding six months, to maintain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0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omnibus in the manner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Act and the regulations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written law; and</w:t>
      </w:r>
    </w:p>
    <w:p>
      <w:pPr>
        <w:autoSpaceDN w:val="0"/>
        <w:autoSpaceDE w:val="0"/>
        <w:widowControl/>
        <w:spacing w:line="254" w:lineRule="auto" w:before="292" w:after="16"/>
        <w:ind w:left="3716" w:right="2304" w:hanging="33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suitability of the facilities afforded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driver, conductor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passengers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space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allocated for goods or baggage.”.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24 of the principal enactment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8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8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“Issuing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temporary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permit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subject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18, issue a temporary permit to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 the operation an omnibus on such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route or routes and for such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as may be determined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24 in order to meet the actual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passenger demand and requirement, during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festival season or holiday and having 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other social necessities.".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26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“shall be maintained at all times in a fit and serviceable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condition;" of the words "shall be maintained in compliance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minimum standards as may be prescribed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23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of the Commission for securing the safety </w:t>
      </w:r>
      <w:r>
        <w:rPr>
          <w:rFonts w:ascii="Times" w:hAnsi="Times" w:eastAsia="Times"/>
          <w:b w:val="0"/>
          <w:i w:val="0"/>
          <w:color w:val="000000"/>
          <w:sz w:val="20"/>
        </w:rPr>
        <w:t>and convenience of the public.”.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28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“Transfer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permit</w:t>
            </w:r>
          </w:p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0" w:after="0"/>
              <w:ind w:left="16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28. (1) The holder of a valid passenger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permit may transfer such permit,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9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 approval of the Commission,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balance period of time specified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permit. The person to whom the transfer is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effected shall make an application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within one week of receiving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omnibus, whether or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permit has expired, in the form and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prescribed and on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 fees.</w:t>
      </w:r>
    </w:p>
    <w:p>
      <w:pPr>
        <w:autoSpaceDN w:val="0"/>
        <w:autoSpaceDE w:val="0"/>
        <w:widowControl/>
        <w:spacing w:line="264" w:lineRule="auto" w:before="274" w:after="16"/>
        <w:ind w:left="29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consider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or refusing to grant a passenger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permit, subject to section 18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procedure and the terms and conditions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under section 24, or any specific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criteria prescribed thereon, prior to the grant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refusal to grant such permit.</w:t>
      </w:r>
    </w:p>
    <w:p>
      <w:pPr>
        <w:autoSpaceDN w:val="0"/>
        <w:autoSpaceDE w:val="0"/>
        <w:widowControl/>
        <w:spacing w:line="254" w:lineRule="auto" w:before="294" w:after="0"/>
        <w:ind w:left="29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fails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section or any regulation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34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thereunder shall be guilty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40.".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1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30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29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272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8" w:lineRule="auto" w:before="292" w:after="0"/>
              <w:ind w:left="1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subsection (1) thereof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words "for such period not less than one year and</w:t>
      </w:r>
    </w:p>
    <w:p>
      <w:pPr>
        <w:autoSpaceDN w:val="0"/>
        <w:tabs>
          <w:tab w:pos="1552" w:val="left"/>
          <w:tab w:pos="2518" w:val="left"/>
        </w:tabs>
        <w:autoSpaceDE w:val="0"/>
        <w:widowControl/>
        <w:spacing w:line="266" w:lineRule="auto" w:before="32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more than three years calculated from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expiry of the permit.", of the words "for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less than one year and not more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calculated from the date of expiry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permit, subject to the provisions under sections 24,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25(1) and 31(1) and having regard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such permit holder.";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518" w:val="left"/>
          <w:tab w:pos="2918" w:val="left"/>
        </w:tabs>
        <w:autoSpaceDE w:val="0"/>
        <w:widowControl/>
        <w:spacing w:line="259" w:lineRule="auto" w:before="294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application for renewal of a passenger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permit shall be made six months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expiry of the permit.”;</w:t>
      </w:r>
    </w:p>
    <w:p>
      <w:pPr>
        <w:autoSpaceDN w:val="0"/>
        <w:autoSpaceDE w:val="0"/>
        <w:widowControl/>
        <w:spacing w:line="235" w:lineRule="auto" w:before="29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in subsection (2) thereof -</w:t>
      </w:r>
    </w:p>
    <w:p>
      <w:pPr>
        <w:autoSpaceDN w:val="0"/>
        <w:autoSpaceDE w:val="0"/>
        <w:widowControl/>
        <w:spacing w:line="254" w:lineRule="auto" w:before="294" w:after="16"/>
        <w:ind w:left="299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 for the words “has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paid the prescribed fee for the renewal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permit."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the words "has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paid the prescribed fee for the renewal of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permit;";</w:t>
      </w:r>
    </w:p>
    <w:p>
      <w:pPr>
        <w:autoSpaceDN w:val="0"/>
        <w:autoSpaceDE w:val="0"/>
        <w:widowControl/>
        <w:spacing w:line="254" w:lineRule="auto" w:before="294" w:after="0"/>
        <w:ind w:left="299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insertion immediately after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subsection of the following new</w:t>
      </w:r>
    </w:p>
    <w:p>
      <w:pPr>
        <w:autoSpaceDN w:val="0"/>
        <w:tabs>
          <w:tab w:pos="2998" w:val="left"/>
        </w:tabs>
        <w:autoSpaceDE w:val="0"/>
        <w:widowControl/>
        <w:spacing w:line="288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62" w:lineRule="auto" w:before="246" w:after="0"/>
        <w:ind w:left="3478" w:right="2422" w:hanging="43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not performed satisfactorily,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performance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criteria determined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prescribed by regulation.".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33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9" w:lineRule="auto" w:before="278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p>
      <w:pPr>
        <w:autoSpaceDN w:val="0"/>
        <w:tabs>
          <w:tab w:pos="6622" w:val="left"/>
        </w:tabs>
        <w:autoSpaceDE w:val="0"/>
        <w:widowControl/>
        <w:spacing w:line="257" w:lineRule="auto" w:before="10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(1) in subsection (1) thereof by the substitution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4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words  "fourteen days", of the words "thirty days";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44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8" w:lineRule="auto" w:before="29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by the repeal of the marginal note to that section</w:t>
      </w:r>
    </w:p>
    <w:p>
      <w:pPr>
        <w:autoSpaceDN w:val="0"/>
        <w:autoSpaceDE w:val="0"/>
        <w:widowControl/>
        <w:spacing w:line="235" w:lineRule="auto" w:before="4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the substitution of the following marginal note</w:t>
      </w:r>
    </w:p>
    <w:p>
      <w:pPr>
        <w:autoSpaceDN w:val="0"/>
        <w:autoSpaceDE w:val="0"/>
        <w:widowControl/>
        <w:spacing w:line="238" w:lineRule="auto" w:before="44" w:after="0"/>
        <w:ind w:left="0" w:right="5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therefor:-</w:t>
      </w:r>
    </w:p>
    <w:p>
      <w:pPr>
        <w:autoSpaceDN w:val="0"/>
        <w:autoSpaceDE w:val="0"/>
        <w:widowControl/>
        <w:spacing w:line="235" w:lineRule="auto" w:before="350" w:after="0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“Appeals against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7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decision</w:t>
      </w:r>
    </w:p>
    <w:p>
      <w:pPr>
        <w:autoSpaceDN w:val="0"/>
        <w:autoSpaceDE w:val="0"/>
        <w:widowControl/>
        <w:spacing w:line="235" w:lineRule="auto" w:before="60" w:after="262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 Commission”.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Part (sections 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inserted immediately after section 34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PART IIA of that enactment: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PART IIA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3662" w:val="left"/>
        </w:tabs>
        <w:autoSpaceDE w:val="0"/>
        <w:widowControl/>
        <w:spacing w:line="235" w:lineRule="auto" w:before="38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"PART IIA</w:t>
      </w:r>
    </w:p>
    <w:p>
      <w:pPr>
        <w:autoSpaceDN w:val="0"/>
        <w:autoSpaceDE w:val="0"/>
        <w:widowControl/>
        <w:spacing w:line="235" w:lineRule="auto" w:before="314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RANSPORTATION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  <w:r>
        <w:rPr>
          <w:rFonts w:ascii="Times" w:hAnsi="Times" w:eastAsia="Times"/>
          <w:b w:val="0"/>
          <w:i w:val="0"/>
          <w:color w:val="000000"/>
          <w:sz w:val="14"/>
        </w:rPr>
        <w:t>OPERATED</w:t>
      </w:r>
    </w:p>
    <w:p>
      <w:pPr>
        <w:autoSpaceDN w:val="0"/>
        <w:autoSpaceDE w:val="0"/>
        <w:widowControl/>
        <w:spacing w:line="235" w:lineRule="auto" w:before="100" w:after="266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INTERPROVINCIALLY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THAN</w:t>
      </w:r>
      <w:r>
        <w:rPr>
          <w:rFonts w:ascii="Times" w:hAnsi="Times" w:eastAsia="Times"/>
          <w:b w:val="0"/>
          <w:i w:val="0"/>
          <w:color w:val="000000"/>
          <w:sz w:val="14"/>
        </w:rPr>
        <w:t>INTERPROVINCIAL</w:t>
      </w:r>
      <w:r>
        <w:rPr>
          <w:rFonts w:ascii="Times" w:hAnsi="Times" w:eastAsia="Times"/>
          <w:b w:val="0"/>
          <w:i w:val="0"/>
          <w:color w:val="000000"/>
          <w:sz w:val="14"/>
        </w:rPr>
        <w:t>OMNIBUS</w:t>
      </w:r>
      <w:r>
        <w:rPr>
          <w:rFonts w:ascii="Times" w:hAnsi="Times" w:eastAsia="Times"/>
          <w:b w:val="0"/>
          <w:i w:val="0"/>
          <w:color w:val="000000"/>
          <w:sz w:val="14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Notwithstanding the operation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II pertaining to omnibus services,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may, on the recommendation of the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transportation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by Order published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declare office transport services,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school transport services and three-wheeler</w:t>
      </w:r>
    </w:p>
    <w:p>
      <w:pPr>
        <w:autoSpaceDN w:val="0"/>
        <w:autoSpaceDE w:val="0"/>
        <w:widowControl/>
        <w:spacing w:line="238" w:lineRule="auto" w:before="44" w:after="2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 to be the designated transportation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could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interprovincially.  The Minister may vary,</w:t>
      </w:r>
    </w:p>
    <w:p>
      <w:pPr>
        <w:autoSpaceDN w:val="0"/>
        <w:autoSpaceDE w:val="0"/>
        <w:widowControl/>
        <w:spacing w:line="238" w:lineRule="auto" w:before="3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amend or repeal any Order from time to time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64" w:lineRule="auto" w:before="51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declare any other means of transportation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 to be a mode of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Part to be operated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interprovincially.</w:t>
      </w:r>
    </w:p>
    <w:p>
      <w:pPr>
        <w:autoSpaceDN w:val="0"/>
        <w:tabs>
          <w:tab w:pos="2998" w:val="left"/>
          <w:tab w:pos="3238" w:val="left"/>
        </w:tabs>
        <w:autoSpaceDE w:val="0"/>
        <w:widowControl/>
        <w:spacing w:line="262" w:lineRule="auto" w:before="292" w:after="0"/>
        <w:ind w:left="15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Order made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come into operation on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publication or on such later date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specified in the Order.</w:t>
      </w:r>
    </w:p>
    <w:p>
      <w:pPr>
        <w:autoSpaceDN w:val="0"/>
        <w:tabs>
          <w:tab w:pos="2998" w:val="left"/>
          <w:tab w:pos="3238" w:val="left"/>
        </w:tabs>
        <w:autoSpaceDE w:val="0"/>
        <w:widowControl/>
        <w:spacing w:line="266" w:lineRule="auto" w:before="294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order made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within three months of its 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before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approval and any Order which is not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shall be deemed to be rescinded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such disapproval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thereunder.</w:t>
      </w:r>
    </w:p>
    <w:p>
      <w:pPr>
        <w:autoSpaceDN w:val="0"/>
        <w:autoSpaceDE w:val="0"/>
        <w:widowControl/>
        <w:spacing w:line="259" w:lineRule="auto" w:before="294" w:after="0"/>
        <w:ind w:left="29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date on which any Order is deemed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so rescinded shall be published in the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998" w:val="left"/>
          <w:tab w:pos="323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transportation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shall be registered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a permit (hereinafter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 the "transportation service permit")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to such service provider by the</w:t>
      </w:r>
    </w:p>
    <w:p>
      <w:pPr>
        <w:autoSpaceDN w:val="0"/>
        <w:tabs>
          <w:tab w:pos="2998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64" w:lineRule="auto" w:before="246" w:after="0"/>
        <w:ind w:left="29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Register shall be maintained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each transportation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shall simultaneously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update the database by entering the relevant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3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details in the official website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 The details of the registered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autoSpaceDE w:val="0"/>
        <w:widowControl/>
        <w:spacing w:line="276" w:lineRule="auto" w:before="52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 providers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by notification published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from time to time.</w:t>
      </w:r>
    </w:p>
    <w:p>
      <w:pPr>
        <w:autoSpaceDN w:val="0"/>
        <w:tabs>
          <w:tab w:pos="2902" w:val="left"/>
          <w:tab w:pos="3144" w:val="left"/>
        </w:tabs>
        <w:autoSpaceDE w:val="0"/>
        <w:widowControl/>
        <w:spacing w:line="276" w:lineRule="auto" w:before="340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for registration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of issuing transportation service </w:t>
      </w:r>
      <w:r>
        <w:rPr>
          <w:rFonts w:ascii="Times" w:hAnsi="Times" w:eastAsia="Times"/>
          <w:b w:val="0"/>
          <w:i w:val="0"/>
          <w:color w:val="000000"/>
          <w:sz w:val="20"/>
        </w:rPr>
        <w:t>permit shall be as prescribed.</w:t>
      </w:r>
    </w:p>
    <w:p>
      <w:pPr>
        <w:autoSpaceDN w:val="0"/>
        <w:autoSpaceDE w:val="0"/>
        <w:widowControl/>
        <w:spacing w:line="276" w:lineRule="auto" w:before="342" w:after="0"/>
        <w:ind w:left="29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transportation service provider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provide transportation services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provided in subsection (1) unless registered</w:t>
      </w:r>
    </w:p>
    <w:p>
      <w:pPr>
        <w:autoSpaceDN w:val="0"/>
        <w:tabs>
          <w:tab w:pos="2902" w:val="left"/>
        </w:tabs>
        <w:autoSpaceDE w:val="0"/>
        <w:widowControl/>
        <w:spacing w:line="295" w:lineRule="auto" w:before="56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Commission in terms of this section.</w:t>
      </w:r>
    </w:p>
    <w:p>
      <w:pPr>
        <w:autoSpaceDN w:val="0"/>
        <w:tabs>
          <w:tab w:pos="2902" w:val="left"/>
          <w:tab w:pos="3142" w:val="left"/>
        </w:tabs>
        <w:autoSpaceDE w:val="0"/>
        <w:widowControl/>
        <w:spacing w:line="288" w:lineRule="auto" w:before="28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transportation service permit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issued or shall not be issued, as the case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subject to the terms and conditions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respective transportation service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standards of such service to be maintained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said permit holder,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 from time to time.</w:t>
      </w:r>
    </w:p>
    <w:p>
      <w:pPr>
        <w:autoSpaceDN w:val="0"/>
        <w:tabs>
          <w:tab w:pos="3142" w:val="left"/>
        </w:tabs>
        <w:autoSpaceDE w:val="0"/>
        <w:widowControl/>
        <w:spacing w:line="266" w:lineRule="auto" w:before="342" w:after="236"/>
        <w:ind w:left="29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transportation service provider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alters the transportation service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permit;</w:t>
      </w:r>
    </w:p>
    <w:p>
      <w:pPr>
        <w:autoSpaceDN w:val="0"/>
        <w:tabs>
          <w:tab w:pos="3802" w:val="left"/>
        </w:tabs>
        <w:autoSpaceDE w:val="0"/>
        <w:widowControl/>
        <w:spacing w:line="235" w:lineRule="auto" w:before="342" w:after="0"/>
        <w:ind w:left="33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produces false documents; or</w:t>
      </w:r>
    </w:p>
    <w:p>
      <w:pPr>
        <w:autoSpaceDN w:val="0"/>
        <w:tabs>
          <w:tab w:pos="3354" w:val="left"/>
          <w:tab w:pos="3802" w:val="left"/>
        </w:tabs>
        <w:autoSpaceDE w:val="0"/>
        <w:widowControl/>
        <w:spacing w:line="281" w:lineRule="auto" w:before="3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provides any transportation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through a vehicle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been registered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998" w:val="left"/>
        </w:tabs>
        <w:autoSpaceDE w:val="0"/>
        <w:widowControl/>
        <w:spacing w:line="281" w:lineRule="auto" w:before="500" w:after="26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under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shall publish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website the names and details of such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conviction for public awareness,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penalty for the offence has been settled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 and the transportation service provider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registered in the manner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Categorization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Minister may, on the advice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Commission, categorize classes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transportation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transportation services and from time to time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issue of a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 the standards to be maintained by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such service.</w:t>
            </w:r>
          </w:p>
        </w:tc>
      </w:tr>
    </w:tbl>
    <w:p>
      <w:pPr>
        <w:autoSpaceDN w:val="0"/>
        <w:tabs>
          <w:tab w:pos="2998" w:val="left"/>
          <w:tab w:pos="3238" w:val="left"/>
        </w:tabs>
        <w:autoSpaceDE w:val="0"/>
        <w:widowControl/>
        <w:spacing w:line="276" w:lineRule="auto" w:before="260" w:after="26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Minister has categorized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classes of the transportation services,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issue a certificate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 of a transportation service 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such categorization.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Certificate to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holder of a transportation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displayed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permit shall cause the certificate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windscreen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displayed on the windscreen of the vehicle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6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it relates in such manner that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clearly visible to any person boarding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 vehicle.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6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6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person who fails to comply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subsection (1) or who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displays a representation so nearly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representing the certificate in such a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to mislead or confuse a third party, shall be</w:t>
      </w:r>
    </w:p>
    <w:p>
      <w:pPr>
        <w:autoSpaceDN w:val="0"/>
        <w:tabs>
          <w:tab w:pos="2996" w:val="left"/>
        </w:tabs>
        <w:autoSpaceDE w:val="0"/>
        <w:widowControl/>
        <w:spacing w:line="281" w:lineRule="auto" w:before="50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guilty of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tabs>
          <w:tab w:pos="1712" w:val="left"/>
          <w:tab w:pos="2902" w:val="left"/>
          <w:tab w:pos="3142" w:val="left"/>
        </w:tabs>
        <w:autoSpaceDE w:val="0"/>
        <w:widowControl/>
        <w:spacing w:line="271" w:lineRule="auto" w:before="540" w:after="0"/>
        <w:ind w:left="14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34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Any person who is aggrieved by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IIA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Commission under PART IIA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may appeal against such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Secretary to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within thirty days from the date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decision is communicated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aggrieved person.</w:t>
      </w:r>
    </w:p>
    <w:p>
      <w:pPr>
        <w:autoSpaceDN w:val="0"/>
        <w:autoSpaceDE w:val="0"/>
        <w:widowControl/>
        <w:spacing w:line="274" w:lineRule="auto" w:before="374" w:after="36"/>
        <w:ind w:left="29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section 33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>, apply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 under subsection (1).".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35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35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14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118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the substitution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 "Act." of the word "Act;"; and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88" w:lineRule="auto" w:before="34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paragraph: -</w:t>
      </w:r>
    </w:p>
    <w:p>
      <w:pPr>
        <w:autoSpaceDN w:val="0"/>
        <w:autoSpaceDE w:val="0"/>
        <w:widowControl/>
        <w:spacing w:line="288" w:lineRule="auto" w:before="372" w:after="312"/>
        <w:ind w:left="2902" w:right="2516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"(</w:t>
      </w:r>
      <w:r>
        <w:rPr>
          <w:rFonts w:ascii="Times,Italic" w:hAnsi="Times,Italic" w:eastAsia="Times,Italic"/>
          <w:b w:val="0"/>
          <w:i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sums directed to be paid thereto by a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under any other written law or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in his discretion.".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37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and figures "The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Article 154 of the Constitution" of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"The provisions of Article 154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Constitution and the National Audit Act, No. 19 of 2018".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0" w:after="0"/>
              <w:ind w:left="5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38 of the principal enactment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22"/>
        </w:trPr>
        <w:tc>
          <w:tcPr>
            <w:tcW w:type="dxa" w:w="1804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"Computation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fare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6" w:after="0"/>
              <w:ind w:left="136" w:right="0" w:firstLine="2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transportation service fares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pertaining to the transportation services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6" w:val="left"/>
        </w:tabs>
        <w:autoSpaceDE w:val="0"/>
        <w:widowControl/>
        <w:spacing w:line="281" w:lineRule="auto" w:before="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omnibus services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computed by the Commission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formula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from time to time adhering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policy relating to transportation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fares approved by Parliament, and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996" w:val="left"/>
          <w:tab w:pos="3236" w:val="left"/>
        </w:tabs>
        <w:autoSpaceDE w:val="0"/>
        <w:widowControl/>
        <w:spacing w:line="283" w:lineRule="auto" w:before="32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publish the lists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transportation service fares pertaining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respective transportation services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official website of the Commission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transportation service provider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list of the transportation service fares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his service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lists published in such website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such list to be displayed 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conspicuous place of the transportation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vehicle.</w:t>
      </w:r>
    </w:p>
    <w:p>
      <w:pPr>
        <w:autoSpaceDN w:val="0"/>
        <w:tabs>
          <w:tab w:pos="2996" w:val="left"/>
          <w:tab w:pos="3236" w:val="left"/>
        </w:tabs>
        <w:autoSpaceDE w:val="0"/>
        <w:widowControl/>
        <w:spacing w:line="281" w:lineRule="auto" w:before="324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in accordance with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39, inspect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transportation service providers are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the preceding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section, and any person who fails to comply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this section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guilty of an offence under section 40.''.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heading "PART IV GENERAL"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new sections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, 38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and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 and shall have effect as sections 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20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524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5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"Commission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monitor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omnibus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services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transportation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2" w:after="0"/>
              <w:ind w:left="102" w:right="56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.(1) The Commission shall monitor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omnibus services and transportation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3278" w:val="left"/>
          <w:tab w:pos="3622" w:val="left"/>
        </w:tabs>
        <w:autoSpaceDE w:val="0"/>
        <w:widowControl/>
        <w:spacing w:line="269" w:lineRule="auto" w:before="2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ensure a safe, efficient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effective interprovincial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with the assistance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Government agencies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may call for reports from the said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agencies of the said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monitoring activities and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remedial measures taken by the said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 providers; and</w:t>
      </w:r>
    </w:p>
    <w:p>
      <w:pPr>
        <w:autoSpaceDN w:val="0"/>
        <w:autoSpaceDE w:val="0"/>
        <w:widowControl/>
        <w:spacing w:line="259" w:lineRule="auto" w:before="216" w:after="16"/>
        <w:ind w:left="36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assess the effect of sound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pollution and other emissions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  vehicles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assistance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</w:t>
            </w:r>
          </w:p>
        </w:tc>
      </w:tr>
    </w:tbl>
    <w:p>
      <w:pPr>
        <w:autoSpaceDN w:val="0"/>
        <w:autoSpaceDE w:val="0"/>
        <w:widowControl/>
        <w:spacing w:line="262" w:lineRule="auto" w:before="10" w:after="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Environmental Authority and assist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adhering to the standards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Environmental Act, No. 47 of 1980.</w:t>
      </w:r>
    </w:p>
    <w:p>
      <w:pPr>
        <w:autoSpaceDN w:val="0"/>
        <w:tabs>
          <w:tab w:pos="2922" w:val="left"/>
          <w:tab w:pos="3082" w:val="left"/>
        </w:tabs>
        <w:autoSpaceDE w:val="0"/>
        <w:widowControl/>
        <w:spacing w:line="266" w:lineRule="auto" w:before="2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permit holder who fails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the transportation vehicle adhering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standards specified under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Environmental Act, No. 47 of 1980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an offence under this Act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conviction after summary trial before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be liable to a fine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five hundred thousand rupees.</w:t>
      </w:r>
    </w:p>
    <w:p>
      <w:pPr>
        <w:autoSpaceDN w:val="0"/>
        <w:autoSpaceDE w:val="0"/>
        <w:widowControl/>
        <w:spacing w:line="235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manner of monitoring by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5" w:lineRule="auto" w:before="476" w:after="162"/>
        <w:ind w:left="30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section shall be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Establishment</w:t>
            </w:r>
          </w:p>
        </w:tc>
        <w:tc>
          <w:tcPr>
            <w:tcW w:type="dxa" w:w="4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established a</w:t>
            </w:r>
          </w:p>
        </w:tc>
      </w:tr>
      <w:tr>
        <w:trPr>
          <w:trHeight w:hRule="exact" w:val="60"/>
        </w:trPr>
        <w:tc>
          <w:tcPr>
            <w:tcW w:type="dxa" w:w="1503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 training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training centre for the upliftment of</w:t>
            </w:r>
          </w:p>
        </w:tc>
      </w:tr>
      <w:tr>
        <w:trPr>
          <w:trHeight w:hRule="exact" w:val="100"/>
        </w:trPr>
        <w:tc>
          <w:tcPr>
            <w:tcW w:type="dxa" w:w="1503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centre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transportation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4"/>
        <w:ind w:left="30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purpose of the Centre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to enhance the overall capacity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 providers by affording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training opportunities in mechanical skills,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road safety emergency measures and road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etiquette.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6"/>
        <w:ind w:left="3016" w:right="2422" w:firstLine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management of the Centre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maintenance of records,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reporting, financial accountability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monitoring,shall be undertaken by the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in the manner as prescribed.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Minister shall prescribe codes</w:t>
            </w:r>
          </w:p>
        </w:tc>
      </w:tr>
      <w:tr>
        <w:trPr>
          <w:trHeight w:hRule="exact" w:val="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conduct which shall be applicable in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prescribe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interprovincial omnibus services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codes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or any of the transportation services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conduct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in subsection (1) of section 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0"/>
        <w:ind w:left="29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regulations under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made only on the advice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and after having obtained the</w:t>
      </w:r>
    </w:p>
    <w:p>
      <w:pPr>
        <w:autoSpaceDN w:val="0"/>
        <w:tabs>
          <w:tab w:pos="2978" w:val="left"/>
        </w:tabs>
        <w:autoSpaceDE w:val="0"/>
        <w:widowControl/>
        <w:spacing w:line="264" w:lineRule="auto" w:before="10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 of Parliament.</w:t>
      </w:r>
    </w:p>
    <w:p>
      <w:pPr>
        <w:autoSpaceDN w:val="0"/>
        <w:autoSpaceDE w:val="0"/>
        <w:widowControl/>
        <w:spacing w:line="245" w:lineRule="auto" w:before="220" w:after="6"/>
        <w:ind w:left="29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any transportation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has contravened or fails to comply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or there is a reasonable likelihood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 contravention of non-compliance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set out in any code of conduct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9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 in terms of section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conduct an inquiry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procedure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Commission may, after giving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 transportation service provider an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opportunity  to be heard at the inquiry under,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issue a directive to such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transportation service provider within such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as may be prescribed –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3484" w:right="2516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to cease and refrain from doing an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omitting to do an Act related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respective code of conduct;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 to perform such acts as in the opinion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7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are necessary to rectify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situation;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 to make a payment of such sum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as compensation as determined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 to an aggrieved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has suffered harm, loss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 as a result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by a transportation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provider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directive issued  under paragraph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shall be in writing and be communicated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transportation service provider to whom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directed by registered post, electronic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communication or other similar means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Commission, and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 shall be binding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transportation service provider, who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such directive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communication.".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39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6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"Power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issue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directions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permit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holders</w:t>
            </w:r>
          </w:p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39. (1) The Commission may issue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to whom a permit has been issued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renewed under this Act, such general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 directions as it may consider necessary</w:t>
            </w:r>
          </w:p>
          <w:p>
            <w:pPr>
              <w:autoSpaceDN w:val="0"/>
              <w:autoSpaceDE w:val="0"/>
              <w:widowControl/>
              <w:spacing w:line="238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making such person comply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998" w:val="left"/>
        </w:tabs>
        <w:autoSpaceDE w:val="0"/>
        <w:widowControl/>
        <w:spacing w:line="266" w:lineRule="auto" w:before="492" w:after="0"/>
        <w:ind w:left="15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this Act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made thereunder or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attached to such permit and it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duty of such person to whom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are issued to comply with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within such time as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directions.</w:t>
      </w:r>
    </w:p>
    <w:p>
      <w:pPr>
        <w:autoSpaceDN w:val="0"/>
        <w:autoSpaceDE w:val="0"/>
        <w:widowControl/>
        <w:spacing w:line="254" w:lineRule="auto" w:before="294" w:after="0"/>
        <w:ind w:left="29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</w:t>
      </w:r>
      <w:r>
        <w:rPr>
          <w:rFonts w:ascii="Times" w:hAnsi="Times" w:eastAsia="Times"/>
          <w:b w:val="0"/>
          <w:i w:val="0"/>
          <w:color w:val="000000"/>
          <w:sz w:val="20"/>
        </w:rPr>
        <w:t>authorized by the Commission in</w:t>
      </w:r>
    </w:p>
    <w:p>
      <w:pPr>
        <w:autoSpaceDN w:val="0"/>
        <w:tabs>
          <w:tab w:pos="2998" w:val="left"/>
        </w:tabs>
        <w:autoSpaceDE w:val="0"/>
        <w:widowControl/>
        <w:spacing w:line="276" w:lineRule="auto" w:before="34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writing may at any time –</w:t>
      </w:r>
    </w:p>
    <w:p>
      <w:pPr>
        <w:autoSpaceDN w:val="0"/>
        <w:tabs>
          <w:tab w:pos="3372" w:val="left"/>
          <w:tab w:pos="3718" w:val="left"/>
        </w:tabs>
        <w:autoSpaceDE w:val="0"/>
        <w:widowControl/>
        <w:spacing w:line="269" w:lineRule="auto" w:before="25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enter into any transportation vehicle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ascertain whether  such vehicle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the purposes authorized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permit  or renewed permit,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applicable, any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therein or any directions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 under any code of conduct,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whether the provisions of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not  being complied with;</w:t>
      </w:r>
    </w:p>
    <w:p>
      <w:pPr>
        <w:autoSpaceDN w:val="0"/>
        <w:tabs>
          <w:tab w:pos="3372" w:val="left"/>
          <w:tab w:pos="3716" w:val="left"/>
          <w:tab w:pos="3718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require the production by the driver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vehicle, of the certificate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under section 34 or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34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as the case may be, or of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document granted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vehicle; or</w:t>
      </w:r>
    </w:p>
    <w:p>
      <w:pPr>
        <w:autoSpaceDN w:val="0"/>
        <w:autoSpaceDE w:val="0"/>
        <w:widowControl/>
        <w:spacing w:line="254" w:lineRule="auto" w:before="294" w:after="0"/>
        <w:ind w:left="3312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take into custody such certificate,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document or copy thereof.</w:t>
      </w:r>
    </w:p>
    <w:p>
      <w:pPr>
        <w:autoSpaceDN w:val="0"/>
        <w:tabs>
          <w:tab w:pos="2996" w:val="left"/>
          <w:tab w:pos="3236" w:val="left"/>
        </w:tabs>
        <w:autoSpaceDE w:val="0"/>
        <w:widowControl/>
        <w:spacing w:line="264" w:lineRule="auto" w:before="294" w:after="0"/>
        <w:ind w:left="14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is aggrieved by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order or decision of any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the Commission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may prefer an appeal to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autoSpaceDE w:val="0"/>
        <w:widowControl/>
        <w:spacing w:line="252" w:lineRule="auto" w:before="50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thirty days from the date 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direction, order or decision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communicated to such aggrieved person.</w:t>
      </w:r>
    </w:p>
    <w:p>
      <w:pPr>
        <w:autoSpaceDN w:val="0"/>
        <w:tabs>
          <w:tab w:pos="2902" w:val="left"/>
          <w:tab w:pos="3142" w:val="left"/>
        </w:tabs>
        <w:autoSpaceDE w:val="0"/>
        <w:widowControl/>
        <w:spacing w:line="252" w:lineRule="auto" w:before="262" w:after="198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 33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any </w:t>
      </w:r>
      <w:r>
        <w:rPr>
          <w:rFonts w:ascii="Times" w:hAnsi="Times" w:eastAsia="Times"/>
          <w:b w:val="0"/>
          <w:i w:val="0"/>
          <w:color w:val="000000"/>
          <w:sz w:val="20"/>
        </w:rPr>
        <w:t>appeal under subsection (3).".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39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39 of the principal enactment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0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"Imposition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penalties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182" w:right="0" w:firstLine="2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Where any transportation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provider fails to comply with 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902" w:val="left"/>
          <w:tab w:pos="2904" w:val="left"/>
        </w:tabs>
        <w:autoSpaceDE w:val="0"/>
        <w:widowControl/>
        <w:spacing w:line="254" w:lineRule="auto" w:before="10" w:after="1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subsection (3) of section 38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shall, after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impact on passengers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nature and extent of the relevant non-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compliance, issue a notice to inform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 provider the penalty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imposed specifying the reasons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imposition. The Commission shall afford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opportunity for such service provider to make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representations in person or  in writing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duration of twenty-one days from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receipt of the notice.</w:t>
      </w:r>
    </w:p>
    <w:p>
      <w:pPr>
        <w:autoSpaceDN w:val="0"/>
        <w:tabs>
          <w:tab w:pos="2904" w:val="left"/>
          <w:tab w:pos="3144" w:val="left"/>
        </w:tabs>
        <w:autoSpaceDE w:val="0"/>
        <w:widowControl/>
        <w:spacing w:line="254" w:lineRule="auto" w:before="254" w:after="8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expiry of the time duration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(1),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make a decision and communicate it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transportation service provider by issuing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certificate under his hand. Such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specify  a penalty, which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 a sum of rupees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hundred thousand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each non-compliance, </w:t>
      </w:r>
      <w:r>
        <w:rPr>
          <w:rFonts w:ascii="Times" w:hAnsi="Times" w:eastAsia="Times"/>
          <w:b w:val="0"/>
          <w:i w:val="0"/>
          <w:color w:val="221F1F"/>
          <w:sz w:val="20"/>
        </w:rPr>
        <w:t>or exempt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provider from the penalty,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98" w:after="6"/>
        <w:ind w:left="29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transportation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has been subjected to a penalty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 occasion, subsequently fails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conform to a directive issued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(3) of section 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shall in addition to the penalty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imposed  under subsection </w:t>
      </w: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the payment of an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penalty consisting of twice the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imposed as a penalty  for the second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subsequent occasions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non-compliance.</w:t>
            </w:r>
          </w:p>
        </w:tc>
      </w:tr>
    </w:tbl>
    <w:p>
      <w:pPr>
        <w:autoSpaceDN w:val="0"/>
        <w:tabs>
          <w:tab w:pos="2998" w:val="left"/>
          <w:tab w:pos="3238" w:val="left"/>
        </w:tabs>
        <w:autoSpaceDE w:val="0"/>
        <w:widowControl/>
        <w:spacing w:line="250" w:lineRule="auto" w:before="192" w:after="6"/>
        <w:ind w:left="14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be 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collection of a penalty imposed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and the money so collected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credited to the Fund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deducting such sum of money collected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compensation, if any, payable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aggrieved person affected by reason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non-compliance of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(iii)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(3) of section 38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996" w:val="left"/>
          <w:tab w:pos="3236" w:val="left"/>
        </w:tabs>
        <w:autoSpaceDE w:val="0"/>
        <w:widowControl/>
        <w:spacing w:line="250" w:lineRule="auto" w:before="252" w:after="6"/>
        <w:ind w:left="14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a transportation service provider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liable to a penalty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or (2) fails to pay such penalty,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period as may be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notice, the Commission may make an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ex 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application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an order requiring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 of the penalty to be recovered 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like manner as a fine imposed by such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such sum may exceed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80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fine which that court may,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exercise of its ordinary jurisdiction impose.</w:t>
      </w:r>
    </w:p>
    <w:p>
      <w:pPr>
        <w:autoSpaceDN w:val="0"/>
        <w:tabs>
          <w:tab w:pos="2998" w:val="left"/>
          <w:tab w:pos="3238" w:val="left"/>
        </w:tabs>
        <w:autoSpaceDE w:val="0"/>
        <w:widowControl/>
        <w:spacing w:line="247" w:lineRule="auto" w:before="252" w:after="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 transportation service provider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becomes liable to a penalty for three or more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occasions within a period of six calendar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autoSpaceDE w:val="0"/>
        <w:widowControl/>
        <w:spacing w:line="245" w:lineRule="auto" w:before="474" w:after="17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months, the Magistrate may order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suspension of 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 issued or renewed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 period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imposition of a penalty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shall not preclude a relevant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or statutory body from taking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regulatory measures including, but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limited to, the suspension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transportation service provider from carrying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respective transportation service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the license granted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carrying on such service.</w:t>
      </w:r>
    </w:p>
    <w:p>
      <w:pPr>
        <w:autoSpaceDN w:val="0"/>
        <w:tabs>
          <w:tab w:pos="2902" w:val="left"/>
          <w:tab w:pos="314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transportation service provider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aggrieved by the imposition of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penalty under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prefer an appeal to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within thirty days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on which such administrative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penalty was communicated to such aggrieved </w:t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autoSpaceDE w:val="0"/>
        <w:widowControl/>
        <w:spacing w:line="250" w:lineRule="auto" w:before="264" w:after="204"/>
        <w:ind w:left="29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provisions of section 33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appeal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"to a fine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40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two hundred thousand rupees" to the end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and the substitution therefor of the following words:-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182" w:val="left"/>
        </w:tabs>
        <w:autoSpaceDE w:val="0"/>
        <w:widowControl/>
        <w:spacing w:line="252" w:lineRule="auto" w:before="1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"to a fine not less than two hundred and fifty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not exceeding five hundred thousand rupees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imprisonment for a period not exceeding five </w:t>
      </w:r>
      <w:r>
        <w:rPr>
          <w:rFonts w:ascii="Times" w:hAnsi="Times" w:eastAsia="Times"/>
          <w:b w:val="0"/>
          <w:i w:val="0"/>
          <w:color w:val="000000"/>
          <w:sz w:val="20"/>
        </w:rPr>
        <w:t>years.".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52" w:after="0"/>
              <w:ind w:left="5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section 44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 "authorized." of the word "authorized;";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paragraphs: -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''(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registration of the transportation services;</w:t>
      </w:r>
    </w:p>
    <w:p>
      <w:pPr>
        <w:autoSpaceDN w:val="0"/>
        <w:tabs>
          <w:tab w:pos="2652" w:val="left"/>
          <w:tab w:pos="2998" w:val="left"/>
        </w:tabs>
        <w:autoSpaceDE w:val="0"/>
        <w:widowControl/>
        <w:spacing w:line="247" w:lineRule="auto" w:before="25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procedure, terms and conditions relating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issue, validation, transfer, renewal,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extension of any certificate, permit 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issued under this Act or any change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to any certificate, permit 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document;</w:t>
      </w:r>
    </w:p>
    <w:p>
      <w:pPr>
        <w:autoSpaceDN w:val="0"/>
        <w:autoSpaceDE w:val="0"/>
        <w:widowControl/>
        <w:spacing w:line="235" w:lineRule="auto" w:before="2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selection criteria and selection process of</w:t>
      </w:r>
    </w:p>
    <w:p>
      <w:pPr>
        <w:autoSpaceDN w:val="0"/>
        <w:tabs>
          <w:tab w:pos="2998" w:val="left"/>
        </w:tabs>
        <w:autoSpaceDE w:val="0"/>
        <w:widowControl/>
        <w:spacing w:line="281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applicants to be granted a route permit;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10" w:after="0"/>
        <w:ind w:left="26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fees and charges to be levied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 categorization of classes of the transportation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services, service standard, to be maintained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transportation service providers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and conditions of determining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different fares of the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transportation vehicles;</w:t>
      </w:r>
    </w:p>
    <w:p>
      <w:pPr>
        <w:autoSpaceDN w:val="0"/>
        <w:tabs>
          <w:tab w:pos="2698" w:val="left"/>
          <w:tab w:pos="2998" w:val="left"/>
          <w:tab w:pos="3530" w:val="left"/>
          <w:tab w:pos="4736" w:val="left"/>
          <w:tab w:pos="5256" w:val="left"/>
          <w:tab w:pos="5788" w:val="left"/>
        </w:tabs>
        <w:autoSpaceDE w:val="0"/>
        <w:widowControl/>
        <w:spacing w:line="247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any database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by the Commission to facilitate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secure, efficient and up to date transport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service;</w:t>
      </w:r>
    </w:p>
    <w:p>
      <w:pPr>
        <w:autoSpaceDN w:val="0"/>
        <w:tabs>
          <w:tab w:pos="2622" w:val="left"/>
          <w:tab w:pos="2998" w:val="left"/>
        </w:tabs>
        <w:autoSpaceDE w:val="0"/>
        <w:widowControl/>
        <w:spacing w:line="250" w:lineRule="auto" w:before="25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procurement of new services,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standards and conditions relating to the use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autoSpaceDE w:val="0"/>
        <w:widowControl/>
        <w:spacing w:line="250" w:lineRule="auto" w:before="506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electronic means to charge fares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Global Positioning System (GPS);</w:t>
      </w:r>
    </w:p>
    <w:p>
      <w:pPr>
        <w:autoSpaceDN w:val="0"/>
        <w:autoSpaceDE w:val="0"/>
        <w:widowControl/>
        <w:spacing w:line="235" w:lineRule="auto" w:before="278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) management of the Training Centre;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59" w:lineRule="auto" w:before="278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standards of service to  be  maintained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holder  of  a  permit and monitoring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standards by the Commission;</w:t>
      </w:r>
    </w:p>
    <w:p>
      <w:pPr>
        <w:autoSpaceDN w:val="0"/>
        <w:autoSpaceDE w:val="0"/>
        <w:widowControl/>
        <w:spacing w:line="247" w:lineRule="auto" w:before="292" w:after="4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codes of conduct applicable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services and the procedure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inquiry conducted by the Commission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event of any contravention of any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of conduct;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188" w:after="0"/>
        <w:ind w:left="25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conditions relating to the inspection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permits and certificates issued; and</w:t>
      </w:r>
    </w:p>
    <w:p>
      <w:pPr>
        <w:autoSpaceDN w:val="0"/>
        <w:autoSpaceDE w:val="0"/>
        <w:widowControl/>
        <w:spacing w:line="238" w:lineRule="auto" w:before="248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) mode and manner of reservation of seats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omnibus services and transportation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46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services.".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"only in respect of an omnibus the capacity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is not less than forty seats" of the words "only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 omnibus the capacity of which is not less than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forty seats and in respect of an air-conditioned bus the </w:t>
      </w:r>
      <w:r>
        <w:rPr>
          <w:rFonts w:ascii="Times" w:hAnsi="Times" w:eastAsia="Times"/>
          <w:b w:val="0"/>
          <w:i w:val="0"/>
          <w:color w:val="000000"/>
          <w:sz w:val="20"/>
        </w:rPr>
        <w:t>capacity of which is not less than twenty seats".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49 of the principal enactment is hereby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7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section 49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insertion immediately after the definition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expression  "Peoplised Company",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new definitions: -</w:t>
      </w:r>
    </w:p>
    <w:p>
      <w:pPr>
        <w:autoSpaceDN w:val="0"/>
        <w:autoSpaceDE w:val="0"/>
        <w:widowControl/>
        <w:spacing w:line="238" w:lineRule="auto" w:before="248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''"prescribed" means prescribed by regulations;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Transport Commission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2" w:lineRule="auto" w:before="472" w:after="0"/>
        <w:ind w:left="3236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"Province" means a Province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Eighth    Schedule   to   the Constitution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Democratic Socialist Republic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2756" w:val="left"/>
          <w:tab w:pos="3236" w:val="left"/>
        </w:tabs>
        <w:autoSpaceDE w:val="0"/>
        <w:widowControl/>
        <w:spacing w:line="259" w:lineRule="auto" w:before="238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"Provincial Council" means a Provincial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 established by Article 154A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of the Democratic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Lanka;";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 in the definition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"specified area", for the words "for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carriage of passengers." of the words "for the carriage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passengers;"; and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0" w:lineRule="auto" w:before="26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addition immediately after the definition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"specified area",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new definitions: -</w:t>
      </w:r>
    </w:p>
    <w:p>
      <w:pPr>
        <w:autoSpaceDN w:val="0"/>
        <w:autoSpaceDE w:val="0"/>
        <w:widowControl/>
        <w:spacing w:line="247" w:lineRule="auto" w:before="264" w:after="0"/>
        <w:ind w:left="3236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''"transportation fares" includes a fee or hire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charged to provide transportation services;</w:t>
      </w:r>
    </w:p>
    <w:p>
      <w:pPr>
        <w:autoSpaceDN w:val="0"/>
        <w:autoSpaceDE w:val="0"/>
        <w:widowControl/>
        <w:spacing w:line="247" w:lineRule="auto" w:before="264" w:after="10"/>
        <w:ind w:left="3236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"transportation services" means providing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travelling facilities by charging a fare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passengers commuting interprovincially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using office transport services, school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services, three-wheeler services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call-up service or a freelance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involving any other motorized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non-motorized form of transportation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service, and for the carriage of goods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inter-provincially;</w:t>
      </w:r>
    </w:p>
    <w:p>
      <w:pPr>
        <w:autoSpaceDN w:val="0"/>
        <w:tabs>
          <w:tab w:pos="2756" w:val="left"/>
          <w:tab w:pos="3236" w:val="left"/>
        </w:tabs>
        <w:autoSpaceDE w:val="0"/>
        <w:widowControl/>
        <w:spacing w:line="254" w:lineRule="auto" w:before="26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"transportation vehicle" means any vehicle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constructed for carriage of passengers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goods utilizing interprovincial road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transportation services and includes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omnibus;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Transport Commission (Amendment)</w:t>
      </w:r>
    </w:p>
    <w:p>
      <w:pPr>
        <w:autoSpaceDN w:val="0"/>
        <w:autoSpaceDE w:val="0"/>
        <w:widowControl/>
        <w:spacing w:line="238" w:lineRule="auto" w:before="50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"vehicle" shall have the same meaning as</w:t>
      </w:r>
    </w:p>
    <w:p>
      <w:pPr>
        <w:autoSpaceDN w:val="0"/>
        <w:autoSpaceDE w:val="0"/>
        <w:widowControl/>
        <w:spacing w:line="238" w:lineRule="auto" w:before="34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assigned to it under the Motor Traffic Act</w:t>
      </w:r>
    </w:p>
    <w:p>
      <w:pPr>
        <w:autoSpaceDN w:val="0"/>
        <w:autoSpaceDE w:val="0"/>
        <w:widowControl/>
        <w:spacing w:line="235" w:lineRule="auto" w:before="32" w:after="234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203).".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5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9676"/>
        </w:trPr>
        <w:tc>
          <w:tcPr>
            <w:tcW w:type="dxa" w:w="480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Transport Commission (Amendment)</w:t>
            </w:r>
          </w:p>
        </w:tc>
        <w:tc>
          <w:tcPr>
            <w:tcW w:type="dxa" w:w="14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