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30,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03.09.2024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18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NATIONAL BUILDING RESEARCH INSTITUTE</w:t>
      </w:r>
    </w:p>
    <w:p>
      <w:pPr>
        <w:autoSpaceDN w:val="0"/>
        <w:autoSpaceDE w:val="0"/>
        <w:widowControl/>
        <w:spacing w:line="235" w:lineRule="auto" w:before="38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3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 of the National Building Research Institute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for matters connected therewith or incidental thereto</w:t>
      </w:r>
    </w:p>
    <w:p>
      <w:pPr>
        <w:autoSpaceDN w:val="0"/>
        <w:autoSpaceDE w:val="0"/>
        <w:widowControl/>
        <w:spacing w:line="235" w:lineRule="auto" w:before="434" w:after="0"/>
        <w:ind w:left="0" w:right="23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Defence</w:t>
      </w:r>
    </w:p>
    <w:p>
      <w:pPr>
        <w:autoSpaceDN w:val="0"/>
        <w:autoSpaceDE w:val="0"/>
        <w:widowControl/>
        <w:spacing w:line="238" w:lineRule="auto" w:before="5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Building Research Institute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33/2012</w:t>
      </w:r>
    </w:p>
    <w:p>
      <w:pPr>
        <w:autoSpaceDN w:val="0"/>
        <w:autoSpaceDE w:val="0"/>
        <w:widowControl/>
        <w:spacing w:line="274" w:lineRule="auto" w:before="362" w:after="0"/>
        <w:ind w:left="225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ESEARCH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122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71" w:lineRule="auto" w:before="3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26" w:val="left"/>
        </w:tabs>
        <w:autoSpaceDE w:val="0"/>
        <w:widowControl/>
        <w:spacing w:line="271" w:lineRule="auto" w:before="366" w:after="0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1.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National Building Research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Act, No.     of 2024. </w:t>
      </w:r>
    </w:p>
    <w:p>
      <w:pPr>
        <w:autoSpaceDN w:val="0"/>
        <w:tabs>
          <w:tab w:pos="3898" w:val="left"/>
        </w:tabs>
        <w:autoSpaceDE w:val="0"/>
        <w:widowControl/>
        <w:spacing w:line="240" w:lineRule="auto" w:before="306" w:after="0"/>
        <w:ind w:left="15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366" w:after="306"/>
        <w:ind w:left="18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ESEARCH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an Institute to be called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known as the National Building Research Institute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“Institute”).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Building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Research</w:t>
            </w:r>
          </w:p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Institute shall, by the name assigned to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86" w:lineRule="auto" w:before="34" w:after="2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Institute shall be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conduct and promote research and surveys in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auto" w:before="3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areas prone to landslides or an area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geotechnical instability with a view to minimizing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impact, and developing such areas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sustainable manner;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Building Research Institute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542" w:after="12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construction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are conducted in a manner that is disaster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resilient in the areas prone to landslides or an area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geotechnical instability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Policy on Construction formulated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Construction Industry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Act, No. 33 of 2014 and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Policy and Program on the Management of Disasters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formulated under the provisions of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Disaster Management Act, No. 13 of 2005, and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 related technical assistance;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26" w:after="164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 research related to ensuring disaster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resilient built environment.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shall have the following powers: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assist the relevant authorities on safe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and construction practices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National Policy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Construction formulated under section 2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Construction Industry Development Act, No. 33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2014 and the National Policy and Program on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Disasters formulated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Sri Lanka Disaster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13 of 2005 on the request made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authorities; 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12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monitor and verify compliance of the Landslide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Assessment Report or Geotechnical Stability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Report and issue Certificate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Conformity in terms of section 24 of this Act;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9" w:lineRule="auto" w:before="22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on any construction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development activity endangering human life,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and environment within the areas prone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landslides or the areas having geotechnical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instability;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Building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50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formulate disaster risk reduction planning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practices;</w:t>
      </w:r>
    </w:p>
    <w:p>
      <w:pPr>
        <w:autoSpaceDN w:val="0"/>
        <w:autoSpaceDE w:val="0"/>
        <w:widowControl/>
        <w:spacing w:line="238" w:lineRule="auto" w:before="224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appoint technical advisory committees;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54" w:lineRule="auto" w:before="224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 and hold, take or give on lease or hire,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of,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p>
      <w:pPr>
        <w:autoSpaceDN w:val="0"/>
        <w:autoSpaceDE w:val="0"/>
        <w:widowControl/>
        <w:spacing w:line="254" w:lineRule="auto" w:before="22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employ, hire or obtain the services of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necessary expertise, knowledge, skills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experience for the activities of the Institute;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2" w:lineRule="auto" w:before="220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charge fees or any other payments for any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Institute;</w:t>
      </w:r>
    </w:p>
    <w:p>
      <w:pPr>
        <w:autoSpaceDN w:val="0"/>
        <w:autoSpaceDE w:val="0"/>
        <w:widowControl/>
        <w:spacing w:line="254" w:lineRule="auto" w:before="224" w:after="0"/>
        <w:ind w:left="251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accept grants, gifts or donations received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or bodies of persons within or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Lanka: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62" w:lineRule="auto" w:before="20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provisions of this Act,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obtain prior written approval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External Resources in respect of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grants, gifts or donations;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54" w:lineRule="auto" w:before="224" w:after="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open and maintain current, savings, or deposit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in any bank or finance institute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autoSpaceDE w:val="0"/>
        <w:widowControl/>
        <w:spacing w:line="238" w:lineRule="auto" w:before="224" w:after="12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in any bank and any finance institute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funds not immediately required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in such manner as the Board may think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appropriate;</w:t>
      </w:r>
    </w:p>
    <w:p>
      <w:pPr>
        <w:autoSpaceDN w:val="0"/>
        <w:autoSpaceDE w:val="0"/>
        <w:widowControl/>
        <w:spacing w:line="257" w:lineRule="auto" w:before="226" w:after="0"/>
        <w:ind w:left="251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and perform all such contracts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powers and the carrying out of the objects of</w:t>
      </w:r>
    </w:p>
    <w:p>
      <w:pPr>
        <w:autoSpaceDN w:val="0"/>
        <w:tabs>
          <w:tab w:pos="2516" w:val="left"/>
        </w:tabs>
        <w:autoSpaceDE w:val="0"/>
        <w:widowControl/>
        <w:spacing w:line="271" w:lineRule="auto" w:before="32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Institute; and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Building Research Institute</w:t>
      </w:r>
    </w:p>
    <w:p>
      <w:pPr>
        <w:autoSpaceDN w:val="0"/>
        <w:autoSpaceDE w:val="0"/>
        <w:widowControl/>
        <w:spacing w:line="266" w:lineRule="auto" w:before="496" w:after="160"/>
        <w:ind w:left="2422" w:right="2516" w:hanging="3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acts and things which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or incidental to, the achievement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Institute as may be authorized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Institute shall be -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</w:tbl>
    <w:p>
      <w:pPr>
        <w:autoSpaceDN w:val="0"/>
        <w:tabs>
          <w:tab w:pos="2078" w:val="left"/>
          <w:tab w:pos="2422" w:val="left"/>
        </w:tabs>
        <w:autoSpaceDE w:val="0"/>
        <w:widowControl/>
        <w:spacing w:line="269" w:lineRule="auto" w:before="3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assist the functions of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nature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Council for Disaster Management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2 of the Sri Lanka Disaster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Act, No. 13 of 2005 as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focal point for landslide risk management; </w:t>
      </w:r>
    </w:p>
    <w:p>
      <w:pPr>
        <w:autoSpaceDN w:val="0"/>
        <w:autoSpaceDE w:val="0"/>
        <w:widowControl/>
        <w:spacing w:line="269" w:lineRule="auto" w:before="240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investigate, identify and map the areas prone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landslides or the areas having geotechnical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instability and demarcate the susceptibility levels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prepare hazard zonation maps;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4" w:lineRule="auto" w:before="2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and declare an area with risk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potential landslide as a “landslide danger zone”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evacuation of persons;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4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issue early warning for areas with potential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impacts due to landslides;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4" w:lineRule="auto" w:before="238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issue Landslide Risk Assessment Report for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type of construction or development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 in the area prone to landslides;</w:t>
      </w:r>
    </w:p>
    <w:p>
      <w:pPr>
        <w:autoSpaceDN w:val="0"/>
        <w:autoSpaceDE w:val="0"/>
        <w:widowControl/>
        <w:spacing w:line="257" w:lineRule="auto" w:before="238" w:after="0"/>
        <w:ind w:left="242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research and studies on landslides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monitor impacts of climate change on landslides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4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design and implement mitigatory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reduce risks associated with landslide; </w:t>
      </w:r>
    </w:p>
    <w:p>
      <w:pPr>
        <w:autoSpaceDN w:val="0"/>
        <w:autoSpaceDE w:val="0"/>
        <w:widowControl/>
        <w:spacing w:line="264" w:lineRule="auto" w:before="240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proactive scientific solutions to minimize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social, economic and environmental impacts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landslides;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Building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auto" w:before="528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in the preparation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land use plans in an area prone to landslides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area having geotechnical instability;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66" w:lineRule="auto" w:before="240" w:after="0"/>
        <w:ind w:left="158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perform geotechnical investigations and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services on ground improvement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slope stabilization measures;</w:t>
      </w:r>
    </w:p>
    <w:p>
      <w:pPr>
        <w:autoSpaceDN w:val="0"/>
        <w:autoSpaceDE w:val="0"/>
        <w:widowControl/>
        <w:spacing w:line="264" w:lineRule="auto" w:before="240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research relating to construction in areas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geotechnical instability and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related technical assistance;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6" w:lineRule="auto" w:before="242" w:after="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recommendations to the Minister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 the scope of geotechnical investigations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design for engineering applications;</w:t>
      </w:r>
    </w:p>
    <w:p>
      <w:pPr>
        <w:autoSpaceDN w:val="0"/>
        <w:autoSpaceDE w:val="0"/>
        <w:widowControl/>
        <w:spacing w:line="257" w:lineRule="auto" w:before="240" w:after="0"/>
        <w:ind w:left="2518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issue Geotechnical Stability Assessment Reports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ground stability for excavation or construction;</w:t>
      </w:r>
    </w:p>
    <w:p>
      <w:pPr>
        <w:autoSpaceDN w:val="0"/>
        <w:tabs>
          <w:tab w:pos="2142" w:val="left"/>
          <w:tab w:pos="2518" w:val="left"/>
        </w:tabs>
        <w:autoSpaceDE w:val="0"/>
        <w:widowControl/>
        <w:spacing w:line="259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function as a depository of all information related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geotechnical investigations;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4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research on disaster resilient construction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provide related technical assistance;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6" w:lineRule="auto" w:before="24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assess chemical, physical and biological changes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environment to provide related technical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solutions;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74" w:lineRule="auto" w:before="24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assess building based on structure, occupancy,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and environment on the request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occupant or the owner of the building and to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assistance;</w:t>
      </w:r>
    </w:p>
    <w:p>
      <w:pPr>
        <w:autoSpaceDN w:val="0"/>
        <w:autoSpaceDE w:val="0"/>
        <w:widowControl/>
        <w:spacing w:line="264" w:lineRule="auto" w:before="222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research on materials, products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used for construction purposes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suitability thereof;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Building Research Institute</w:t>
      </w:r>
    </w:p>
    <w:p>
      <w:pPr>
        <w:autoSpaceDN w:val="0"/>
        <w:autoSpaceDE w:val="0"/>
        <w:widowControl/>
        <w:spacing w:line="262" w:lineRule="auto" w:before="492" w:after="0"/>
        <w:ind w:left="2422" w:right="2516" w:hanging="31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investigate into the conditions of damage, safety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incorporation of disaster resilient design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features in buildings and structures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provide technical solutions on structural safety,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4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request of the occupant or the owner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building;</w:t>
      </w:r>
    </w:p>
    <w:p>
      <w:pPr>
        <w:autoSpaceDN w:val="0"/>
        <w:tabs>
          <w:tab w:pos="2108" w:val="left"/>
          <w:tab w:pos="2422" w:val="left"/>
        </w:tabs>
        <w:autoSpaceDE w:val="0"/>
        <w:widowControl/>
        <w:spacing w:line="264" w:lineRule="auto" w:before="23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assistance to the relevant authorities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policy, guidelines,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specifications and standards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and development activities,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made by such relevant authorities;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66" w:lineRule="auto" w:before="23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disseminate scientific knowledge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areas of expertise of the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awareness creation,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technology transfer;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6" w:lineRule="auto" w:before="21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collaborate with local and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in conducting research and surveys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approval of the Board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disseminate the outcome of such research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surveys whilst maintaining confidentiality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and, subject to written laws on patent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rights. </w:t>
      </w:r>
    </w:p>
    <w:p>
      <w:pPr>
        <w:autoSpaceDN w:val="0"/>
        <w:autoSpaceDE w:val="0"/>
        <w:widowControl/>
        <w:spacing w:line="238" w:lineRule="auto" w:before="320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22" w:after="228"/>
        <w:ind w:left="0" w:right="3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MANAGEMENT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administration, management and control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affairs of the Institute shall be vested in the Board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Governors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of the Institute (in this Act referred to as “Board”)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consist of-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Building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92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following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 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members, namely: -</w:t>
      </w:r>
    </w:p>
    <w:p>
      <w:pPr>
        <w:autoSpaceDN w:val="0"/>
        <w:tabs>
          <w:tab w:pos="2918" w:val="left"/>
          <w:tab w:pos="3238" w:val="left"/>
        </w:tabs>
        <w:autoSpaceDE w:val="0"/>
        <w:widowControl/>
        <w:spacing w:line="252" w:lineRule="auto" w:before="31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Disaster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who shall be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Board;</w:t>
      </w:r>
    </w:p>
    <w:p>
      <w:pPr>
        <w:autoSpaceDN w:val="0"/>
        <w:autoSpaceDE w:val="0"/>
        <w:widowControl/>
        <w:spacing w:line="252" w:lineRule="auto" w:before="218" w:after="0"/>
        <w:ind w:left="3238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  representative not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Additional Secretary;</w:t>
      </w:r>
    </w:p>
    <w:p>
      <w:pPr>
        <w:autoSpaceDN w:val="0"/>
        <w:tabs>
          <w:tab w:pos="2798" w:val="left"/>
          <w:tab w:pos="3238" w:val="left"/>
        </w:tabs>
        <w:autoSpaceDE w:val="0"/>
        <w:widowControl/>
        <w:spacing w:line="254" w:lineRule="auto" w:before="212" w:after="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Secretary to the Ministry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Local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or his   representative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Additional Secretary;</w:t>
      </w:r>
    </w:p>
    <w:p>
      <w:pPr>
        <w:autoSpaceDN w:val="0"/>
        <w:tabs>
          <w:tab w:pos="2812" w:val="left"/>
          <w:tab w:pos="3238" w:val="left"/>
        </w:tabs>
        <w:autoSpaceDE w:val="0"/>
        <w:widowControl/>
        <w:spacing w:line="252" w:lineRule="auto" w:before="22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Director-General of the Disaster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Center established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Disaster Management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No.13 of 2005;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0" w:lineRule="auto" w:before="218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following members to be appointed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(hereinafter referred to as “appointed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members”):-</w:t>
      </w:r>
    </w:p>
    <w:p>
      <w:pPr>
        <w:autoSpaceDN w:val="0"/>
        <w:autoSpaceDE w:val="0"/>
        <w:widowControl/>
        <w:spacing w:line="252" w:lineRule="auto" w:before="218" w:after="10"/>
        <w:ind w:left="3238" w:right="2422" w:hanging="3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one person having not less than five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the field of disaster resilience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postgraduate qualifications in one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more disciplines, namely engineering,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geology,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environmental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science,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5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architecture or urban development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Housing;</w:t>
      </w:r>
    </w:p>
    <w:p>
      <w:pPr>
        <w:autoSpaceDN w:val="0"/>
        <w:tabs>
          <w:tab w:pos="2858" w:val="left"/>
          <w:tab w:pos="3238" w:val="left"/>
        </w:tabs>
        <w:autoSpaceDE w:val="0"/>
        <w:widowControl/>
        <w:spacing w:line="252" w:lineRule="auto" w:before="220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one academic nominated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Grants Commission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Universities Act, No.16 of 1978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Building Research Institute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</w:t>
            </w:r>
          </w:p>
        </w:tc>
      </w:tr>
      <w:tr>
        <w:trPr>
          <w:trHeight w:hRule="exact" w:val="484"/>
        </w:trPr>
        <w:tc>
          <w:tcPr>
            <w:tcW w:type="dxa" w:w="1804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academics 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142" w:val="left"/>
        </w:tabs>
        <w:autoSpaceDE w:val="0"/>
        <w:widowControl/>
        <w:spacing w:line="259" w:lineRule="auto" w:before="12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postgraduate qualifications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disciplines, namely engineering, geology,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science, architecture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urban development; and</w:t>
      </w:r>
    </w:p>
    <w:p>
      <w:pPr>
        <w:autoSpaceDN w:val="0"/>
        <w:autoSpaceDE w:val="0"/>
        <w:widowControl/>
        <w:spacing w:line="247" w:lineRule="auto" w:before="210" w:after="12"/>
        <w:ind w:left="3142" w:right="2448" w:hanging="4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one professional with expertise in the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geotechnical engineering or</w:t>
      </w:r>
      <w:r>
        <w:rPr>
          <w:rFonts w:ascii="Times" w:hAnsi="Times" w:eastAsia="Times"/>
          <w:b w:val="0"/>
          <w:i w:val="0"/>
          <w:color w:val="221F1F"/>
          <w:sz w:val="20"/>
        </w:rPr>
        <w:t>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construction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industry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</w:t>
            </w:r>
          </w:p>
        </w:tc>
      </w:tr>
    </w:tbl>
    <w:p>
      <w:pPr>
        <w:autoSpaceDN w:val="0"/>
        <w:tabs>
          <w:tab w:pos="3142" w:val="left"/>
          <w:tab w:pos="3144" w:val="left"/>
        </w:tabs>
        <w:autoSpaceDE w:val="0"/>
        <w:widowControl/>
        <w:spacing w:line="259" w:lineRule="auto" w:before="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postgraduate qualifications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disciplines, namely engineering, geology,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science, architecture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urban development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Chamber of Construction Industry,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incorporated under the Chamber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Industry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23 of 2019.</w:t>
      </w:r>
    </w:p>
    <w:p>
      <w:pPr>
        <w:autoSpaceDN w:val="0"/>
        <w:autoSpaceDE w:val="0"/>
        <w:widowControl/>
        <w:spacing w:line="252" w:lineRule="auto" w:before="22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Director-General of the Institute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16 of this Act shall be the Secretary to the Board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to be entitled to vote at any meeting of the Board.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24" w:after="16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shall, for the purpose of administering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affairs of the Institute, exercise and discharge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on, assigned to or imposed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by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 as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Disqualifications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 member of the Board, if -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from being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member of the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 he is or becomes, a member of Parliament, a member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Provincial Council or a member of a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autoSpaceDE w:val="0"/>
        <w:widowControl/>
        <w:spacing w:line="238" w:lineRule="auto" w:before="220" w:after="164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he is not, or ceases to be, a citizen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8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he is under any law in force in Sri Lanka or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country, found or declared to be of unsound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6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mind;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National Building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auto" w:before="518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is an undischarged insolvent or bankrupt;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declared bankrupt or insolvent under any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in any other country; 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66" w:lineRule="auto" w:before="244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is serving or has served a sentence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imposed by any court in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 any other country;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42" w:after="0"/>
        <w:ind w:left="22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by, or on behalf of the Institute; or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66" w:lineRule="auto" w:before="242" w:after="184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has any financial or other interests as is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discharge by him of his functions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appointed member of the Board shall, unless 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vacates office earlier by death, resignation or removal, hold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for a term of three years from the date of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Vacation of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appointed member may resign office by letter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addressed to the Minister.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shall remove from office any appointed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 by a written communication addressed to him -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9" w:lineRule="auto" w:before="244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he becomes subject to any disqualification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7;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71" w:lineRule="auto" w:before="24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in the opinion of the Minister, he becomes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incapable of performing his duties due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physical disability or unsoundness of mind;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autoSpaceDE w:val="0"/>
        <w:widowControl/>
        <w:spacing w:line="266" w:lineRule="auto" w:before="242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he does any act which,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is likely to bring the Institute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disrepute.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National Building Research Institute</w:t>
      </w:r>
    </w:p>
    <w:p>
      <w:pPr>
        <w:autoSpaceDN w:val="0"/>
        <w:autoSpaceDE w:val="0"/>
        <w:widowControl/>
        <w:spacing w:line="247" w:lineRule="auto" w:before="47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appointed member to whom a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is addressed under subsection (2),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 his office with effect from the date specified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7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appointed member who has been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 not be eligible for reappointment as a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or to serve the Institute in any other capacity.</w:t>
      </w:r>
    </w:p>
    <w:p>
      <w:pPr>
        <w:autoSpaceDN w:val="0"/>
        <w:autoSpaceDE w:val="0"/>
        <w:widowControl/>
        <w:spacing w:line="245" w:lineRule="auto" w:before="172" w:after="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the vacation of office by any appointed member,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may appoint any suitable person having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qualifications set out in section 6 of this Act to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person shall hold office for the unexpired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the term of office of the appointed member whom </w:t>
      </w:r>
      <w:r>
        <w:rPr>
          <w:rFonts w:ascii="Times" w:hAnsi="Times" w:eastAsia="Times"/>
          <w:b w:val="0"/>
          <w:i w:val="0"/>
          <w:color w:val="221F1F"/>
          <w:sz w:val="20"/>
        </w:rPr>
        <w:t>he succeeds.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70" w:after="112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appointed member is temporarily unable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perform the duties of his office due to ill health, absence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or any other cause, the Minister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suitable person having the qualifications set out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 of this Act to act in place 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Board shall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or allowance at such rates as may be determined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the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 meeting of the Board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Subject to the provisions of this Act, the procedure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transaction of business at meetings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Board.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6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question arising at any meeting of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determined by   a majority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case of an equality of votes, the Chairperson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 second or casting vote.</w:t>
      </w:r>
    </w:p>
    <w:p>
      <w:pPr>
        <w:autoSpaceDN w:val="0"/>
        <w:autoSpaceDE w:val="0"/>
        <w:widowControl/>
        <w:spacing w:line="245" w:lineRule="auto" w:before="172" w:after="0"/>
        <w:ind w:left="1704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Board may act notwithstanding a vacancy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so long as the number of members of the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to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Building Research Institute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this Act, a member of the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to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 officer not below the rank of a technical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writing by the Board may, upon the request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 any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an owner or occupier of a land enter into such land.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Notwithstanding the provisions of subsection (1),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9" w:lineRule="auto" w:before="1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member of the Board or an officer not below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of a technical officer authorized in writing by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satisfies himself of the material facts before such member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that there exists an imminent risk of a landslide,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lawful for such member or officer to enter into a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</w:t>
      </w:r>
      <w:r>
        <w:rPr>
          <w:rFonts w:ascii="Times" w:hAnsi="Times" w:eastAsia="Times"/>
          <w:b w:val="0"/>
          <w:i w:val="0"/>
          <w:color w:val="221F1F"/>
          <w:sz w:val="20"/>
        </w:rPr>
        <w:t>police officer 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owner or occupier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land.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24" w:after="0"/>
        <w:ind w:left="146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 or officer may enter upon any land,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without necessary vehicles, equipments or tools and inspect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land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any sample of soil or carry 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test therein. </w:t>
      </w:r>
    </w:p>
    <w:p>
      <w:pPr>
        <w:autoSpaceDN w:val="0"/>
        <w:autoSpaceDE w:val="0"/>
        <w:widowControl/>
        <w:spacing w:line="254" w:lineRule="auto" w:before="224" w:after="1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owner or occupier of such land shall afford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assistance to the member or officer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may, subject to such conditions as may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specified in writing, delegate to the Chairperson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Board,  the Director-General, the Technical Advisory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12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Committee,  or  any person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 any of its powers other than the powers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and the Chairperson, the Director-General,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Technical Advisory Committee,  or  any person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4 shall exercise such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any general or special directions 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54" w:lineRule="auto" w:before="1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Board may exercise any such power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delegated.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Building Research Institute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from time to time, issue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to the Board relating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exercise its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and performance of its powers and functions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perform its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and it shall be the duty of the Board to comply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directions.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31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Institute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</w:tbl>
    <w:p>
      <w:pPr>
        <w:autoSpaceDN w:val="0"/>
        <w:tabs>
          <w:tab w:pos="2542" w:val="left"/>
          <w:tab w:pos="6630" w:val="left"/>
        </w:tabs>
        <w:autoSpaceDE w:val="0"/>
        <w:widowControl/>
        <w:spacing w:line="245" w:lineRule="auto" w:before="2" w:after="130"/>
        <w:ind w:left="2186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in the custody of such person as the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may, from time to time,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45" w:lineRule="auto" w:before="60" w:after="0"/>
              <w:ind w:left="32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may be altered in such manner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Board; and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0"/>
        <w:ind w:left="2542" w:right="2516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affixed to any document or instrument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in the presence of two members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both of whom shall sign the document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 in token of their presence.</w:t>
      </w:r>
    </w:p>
    <w:p>
      <w:pPr>
        <w:autoSpaceDN w:val="0"/>
        <w:tabs>
          <w:tab w:pos="3742" w:val="left"/>
        </w:tabs>
        <w:autoSpaceDE w:val="0"/>
        <w:widowControl/>
        <w:spacing w:line="254" w:lineRule="auto" w:before="170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188" w:after="13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 in consultation with the Board,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to the staff of the Institute, a Director-General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Director-General”), from among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who have achieved eminence in the field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Engineering, Science or Technology whose qualifications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experience shall be prescribed by regulations.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28" w:after="12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appointed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Chief Executive Officer of the Institute.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emoluments of the Director- General shall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Finance be determined by the Board  in accordance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guidelines of the government.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84" w:right="125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Director-General shall, subject to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 of the Board, be responsible for the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Institute, including the administration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management of the officers and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50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Building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9" w:lineRule="auto" w:before="506" w:after="0"/>
        <w:ind w:left="151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who holds the office of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shall, unless such person vacates such office earlier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death, resignation or removal, hold such office until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retirement. The age of retirement shall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in accordance with applicable guidelines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government. </w:t>
      </w:r>
    </w:p>
    <w:p>
      <w:pPr>
        <w:autoSpaceDN w:val="0"/>
        <w:tabs>
          <w:tab w:pos="1996" w:val="left"/>
        </w:tabs>
        <w:autoSpaceDE w:val="0"/>
        <w:widowControl/>
        <w:spacing w:line="250" w:lineRule="auto" w:before="27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may,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from office.</w:t>
      </w:r>
    </w:p>
    <w:p>
      <w:pPr>
        <w:autoSpaceDN w:val="0"/>
        <w:autoSpaceDE w:val="0"/>
        <w:widowControl/>
        <w:spacing w:line="235" w:lineRule="auto" w:before="278" w:after="12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The office of the Director-General shall become vacant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death, removal or retirement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office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(5) or resignation by letter addressed to the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96" w:val="left"/>
          <w:tab w:pos="1798" w:val="left"/>
          <w:tab w:pos="1996" w:val="left"/>
        </w:tabs>
        <w:autoSpaceDE w:val="0"/>
        <w:widowControl/>
        <w:spacing w:line="259" w:lineRule="auto" w:before="278" w:after="218"/>
        <w:ind w:left="146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Where any vacancy occurs in the office of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shall appoint an officer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qualifications and experience specified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 and perform the powers and functions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Director-General until an appointment is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may whenever he considers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do so with the approval of the Board, delegate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may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delegate his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officer of the Institute, any power or function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or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him by this Act and such officer shall exercise and perform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or function, subject to the direction and control </w:t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Director-General: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9" w:lineRule="auto" w:before="294" w:after="23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power or function delegated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13 shall be delegated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 appoint Directors of the Institute,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 of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in charge of separate divisions of the Institute.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and conditions of such employment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50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Building Research Institute</w:t>
      </w:r>
    </w:p>
    <w:p>
      <w:pPr>
        <w:autoSpaceDN w:val="0"/>
        <w:autoSpaceDE w:val="0"/>
        <w:widowControl/>
        <w:spacing w:line="247" w:lineRule="auto" w:before="542" w:after="20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Directors appointed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discharge their powers and functions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from time to time by the 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may appoint such officers and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as may be necessary for the efficient exercise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powers and functions of the Institute.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62" w:val="left"/>
        </w:tabs>
        <w:autoSpaceDE w:val="0"/>
        <w:widowControl/>
        <w:spacing w:line="252" w:lineRule="auto" w:before="20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terms and conditions of employment,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remuneration, the eligibility criteria and the schemes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of the officers and employees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determined by the Board in keeping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related guidelines of the Government. </w:t>
      </w:r>
    </w:p>
    <w:p>
      <w:pPr>
        <w:autoSpaceDN w:val="0"/>
        <w:autoSpaceDE w:val="0"/>
        <w:widowControl/>
        <w:spacing w:line="250" w:lineRule="auto" w:before="260" w:after="6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not however appoint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dismissed from any previous position held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in the public or private sector as an officer 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the Institute.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Institute, any officer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officer, and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 the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established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 the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be temporarily appointed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for such period as may be determined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or with like consent be permanently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>the staff of the Institute.</w:t>
      </w:r>
    </w:p>
    <w:p>
      <w:pPr>
        <w:autoSpaceDN w:val="0"/>
        <w:autoSpaceDE w:val="0"/>
        <w:widowControl/>
        <w:spacing w:line="247" w:lineRule="auto" w:before="260" w:after="8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Institute,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4" w:lineRule="auto" w:before="260" w:after="0"/>
        <w:ind w:left="138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and in relation to such officer.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50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Building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522" w:after="0"/>
        <w:ind w:left="15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Institute employs any officer in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who has entered into a contract with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which he has agreed to serve the Government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period, any period of service to the Institute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shall be regarded as service to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discharging the obligations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contract.</w:t>
      </w:r>
    </w:p>
    <w:p>
      <w:pPr>
        <w:autoSpaceDN w:val="0"/>
        <w:autoSpaceDE w:val="0"/>
        <w:widowControl/>
        <w:spacing w:line="238" w:lineRule="auto" w:before="29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294" w:after="230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Institute shall have its own Fund. There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 of the Institute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4" w:after="0"/>
        <w:ind w:left="2638" w:right="242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 the exercise and discharge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functions; and</w:t>
      </w:r>
    </w:p>
    <w:p>
      <w:pPr>
        <w:autoSpaceDN w:val="0"/>
        <w:tabs>
          <w:tab w:pos="2280" w:val="left"/>
          <w:tab w:pos="2638" w:val="left"/>
        </w:tabs>
        <w:autoSpaceDE w:val="0"/>
        <w:widowControl/>
        <w:spacing w:line="262" w:lineRule="auto" w:before="294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by way of loans, donations, gifts or grants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sources whether in or outside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terms of paragraph (i) of section 4.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294" w:after="23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Institute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sums of money required to defray expenditure incurred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Institute in the exercise and discharge of its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Institute shall be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Institute shall cause proper books of accounts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50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Building Research Institute</w:t>
      </w:r>
    </w:p>
    <w:p>
      <w:pPr>
        <w:autoSpaceDN w:val="0"/>
        <w:autoSpaceDE w:val="0"/>
        <w:widowControl/>
        <w:spacing w:line="259" w:lineRule="auto" w:before="492" w:after="492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auditing of accounts of corporations 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 in relation to the audit of accounts of the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Part II of the Finance Act, No. 38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1971,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and in respect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Part II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control and accounts of the Institute.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38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1971</w:t>
      </w:r>
    </w:p>
    <w:p>
      <w:pPr>
        <w:autoSpaceDN w:val="0"/>
        <w:autoSpaceDE w:val="0"/>
        <w:widowControl/>
        <w:spacing w:line="235" w:lineRule="auto" w:before="90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94" w:after="232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Landslide Risk Assessment Report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Geotechnical Stability Assessment Report shall be issued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Landslides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Institute on the request made by any person.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Risk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59" w:lineRule="auto" w:before="4" w:after="0"/>
        <w:ind w:left="190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Assessment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relevant authority requests the Institute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Report ect</w:t>
      </w:r>
    </w:p>
    <w:p>
      <w:pPr>
        <w:autoSpaceDN w:val="0"/>
        <w:autoSpaceDE w:val="0"/>
        <w:widowControl/>
        <w:spacing w:line="254" w:lineRule="auto" w:before="3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compliance of the report issued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the Institute shall monitor and report to such relevant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4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the compliance of such report and issue a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 of Conformity.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land or any servitude over a land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by the Institute for the purpose of construction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land or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servitude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of an office of the Institute established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 a land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 such purpose shall for the purpose of the Land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Acquisition Act (Chapter 460) be deemed to be a public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and such land or servitude may be acquired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Land Acquisition Act  by the Government for the Institute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provisions of the Land Acquisition Act shall apply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and in relation to such acquisition.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24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sum payable for the acquisition of such land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servitude under the Land Acquisition Act (Chapter 460) for </w:t>
      </w:r>
      <w:r>
        <w:rPr>
          <w:rFonts w:ascii="Times" w:hAnsi="Times" w:eastAsia="Times"/>
          <w:b w:val="0"/>
          <w:i w:val="0"/>
          <w:color w:val="221F1F"/>
          <w:sz w:val="20"/>
        </w:rPr>
        <w:t>the Institute shall be paid out of the Fund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50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Building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492" w:after="0"/>
        <w:ind w:left="151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state land is required for the purpose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Institute, such purpose shall be deemed to be a purpose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 special grant or lease of such property may be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 of the Crown Lands Ordinance (Chapter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454) and, accordingly, the provisions of that Ordinance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the special grant or lease of that property.</w:t>
      </w:r>
    </w:p>
    <w:p>
      <w:pPr>
        <w:autoSpaceDN w:val="0"/>
        <w:tabs>
          <w:tab w:pos="1796" w:val="left"/>
          <w:tab w:pos="1996" w:val="left"/>
          <w:tab w:pos="6734" w:val="left"/>
        </w:tabs>
        <w:autoSpaceDE w:val="0"/>
        <w:widowControl/>
        <w:spacing w:line="264" w:lineRule="auto" w:before="292" w:after="0"/>
        <w:ind w:left="1462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26.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Director-General shall, within six months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of each calendar year transmit an annual report giving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account of the activities of the Institute during that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Minister.</w:t>
      </w:r>
    </w:p>
    <w:p>
      <w:pPr>
        <w:autoSpaceDN w:val="0"/>
        <w:autoSpaceDE w:val="0"/>
        <w:widowControl/>
        <w:spacing w:line="259" w:lineRule="auto" w:before="29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cause copies of the annual report to </w:t>
      </w:r>
      <w:r>
        <w:rPr>
          <w:rFonts w:ascii="Times" w:hAnsi="Times" w:eastAsia="Times"/>
          <w:b w:val="0"/>
          <w:i w:val="0"/>
          <w:color w:val="221F1F"/>
          <w:sz w:val="20"/>
        </w:rPr>
        <w:t>be placed in Parliament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 receipt.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9" w:lineRule="auto" w:before="292" w:after="234"/>
        <w:ind w:left="146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may, from time to time, specify the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need to or details that to be included in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Board, officers and employees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shall be deemed to be public officers within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  etc.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meaning and for the purpose of the Penal Code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officers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shall be deemed to be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deemed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Anti-Corruption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expenses incurred by the Institute in any suit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to be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brought by or against it before any court, shall be paid out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paid out 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of the Institute and only costs paid to or recovered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Institute in any such suit, shall be credited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Fund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50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Building Research Institute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71" w:lineRule="auto" w:before="484" w:after="18"/>
        <w:ind w:left="14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Any expenses incurred by a member of the Board,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Director-General, a Director, any officer or other employee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Institute, in any suit or prosecution brought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before any court in respect of any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done or purported to be done by such person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Minister or the Board,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shall, if  court holds that such act was done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good faith, be paid out of the Fund of the Institute,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expenses are recovered by him in such suit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person who contravenes or fails to comply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provision of this Act commits an offence and shall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before a Magistrate be liable to imprisonment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 be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description for a term not exceeding two years or to 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one hundred thousand rupees or to both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imprisonment and fine.</w:t>
      </w:r>
    </w:p>
    <w:p>
      <w:pPr>
        <w:autoSpaceDN w:val="0"/>
        <w:tabs>
          <w:tab w:pos="1702" w:val="left"/>
          <w:tab w:pos="1902" w:val="left"/>
          <w:tab w:pos="6622" w:val="left"/>
        </w:tabs>
        <w:autoSpaceDE w:val="0"/>
        <w:widowControl/>
        <w:spacing w:line="266" w:lineRule="auto" w:before="300" w:after="0"/>
        <w:ind w:left="1382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carrying out or giving effect to the principles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in respect of any matter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by this Act to be prescribed.</w:t>
      </w:r>
    </w:p>
    <w:p>
      <w:pPr>
        <w:autoSpaceDN w:val="0"/>
        <w:autoSpaceDE w:val="0"/>
        <w:widowControl/>
        <w:spacing w:line="266" w:lineRule="auto" w:before="300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the date of such publication or on </w:t>
      </w:r>
      <w:r>
        <w:rPr>
          <w:rFonts w:ascii="Times" w:hAnsi="Times" w:eastAsia="Times"/>
          <w:b w:val="0"/>
          <w:i w:val="0"/>
          <w:color w:val="221F1F"/>
          <w:sz w:val="20"/>
        </w:rPr>
        <w:t>such later date as may be specified in the regulation.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71" w:lineRule="auto" w:before="300" w:after="0"/>
        <w:ind w:left="138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within three months from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brought before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approval.  Any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as from the date of such disapproval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thereunder.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50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Building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4" w:lineRule="auto" w:before="552" w:after="0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rescinded,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08" w:val="left"/>
        </w:tabs>
        <w:autoSpaceDE w:val="0"/>
        <w:widowControl/>
        <w:spacing w:line="247" w:lineRule="auto" w:before="284" w:after="0"/>
        <w:ind w:left="19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32.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 –</w:t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38" w:lineRule="auto" w:before="274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“bank” means any bank licensed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the Banking Act, No. 30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1988;</w:t>
            </w:r>
          </w:p>
        </w:tc>
      </w:tr>
    </w:tbl>
    <w:p>
      <w:pPr>
        <w:autoSpaceDN w:val="0"/>
        <w:autoSpaceDE w:val="0"/>
        <w:widowControl/>
        <w:spacing w:line="257" w:lineRule="auto" w:before="224" w:after="16"/>
        <w:ind w:left="3436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“buildings” include a structure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construction, partly constructed,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fully constructed as a house,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apartment or a condominium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human occupation or evacuation</w:t>
            </w:r>
          </w:p>
        </w:tc>
      </w:tr>
    </w:tbl>
    <w:p>
      <w:pPr>
        <w:autoSpaceDN w:val="0"/>
        <w:tabs>
          <w:tab w:pos="3436" w:val="left"/>
        </w:tabs>
        <w:autoSpaceDE w:val="0"/>
        <w:widowControl/>
        <w:spacing w:line="266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center, or a house for resettlement 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disaster management that is in a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occupied or vacant or  a school,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educational institution, a hotel,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office, a hall,  a place of worship, a shop,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shopping complex, a factory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warehouse of commercial interest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similar place where general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gather; </w:t>
      </w:r>
    </w:p>
    <w:p>
      <w:pPr>
        <w:autoSpaceDN w:val="0"/>
        <w:tabs>
          <w:tab w:pos="2836" w:val="left"/>
          <w:tab w:pos="3436" w:val="left"/>
          <w:tab w:pos="4818" w:val="left"/>
          <w:tab w:pos="5426" w:val="left"/>
        </w:tabs>
        <w:autoSpaceDE w:val="0"/>
        <w:widowControl/>
        <w:spacing w:line="264" w:lineRule="auto" w:before="27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“early warning” means, the process to generate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disseminate timely and meaningful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warning information to enable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threatened by a hazard to prepare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act appropriately and in sufficient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reduce the possibility of harm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loss;</w:t>
      </w:r>
    </w:p>
    <w:p>
      <w:pPr>
        <w:autoSpaceDN w:val="0"/>
        <w:autoSpaceDE w:val="0"/>
        <w:widowControl/>
        <w:spacing w:line="235" w:lineRule="auto" w:before="3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“finance institute” means an institute licensed</w:t>
      </w:r>
    </w:p>
    <w:p>
      <w:pPr>
        <w:autoSpaceDN w:val="0"/>
        <w:tabs>
          <w:tab w:pos="3436" w:val="left"/>
        </w:tabs>
        <w:autoSpaceDE w:val="0"/>
        <w:widowControl/>
        <w:spacing w:line="274" w:lineRule="auto" w:before="5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the Finance</w:t>
      </w:r>
    </w:p>
    <w:p>
      <w:pPr>
        <w:autoSpaceDN w:val="0"/>
        <w:autoSpaceDE w:val="0"/>
        <w:widowControl/>
        <w:spacing w:line="238" w:lineRule="auto" w:before="16" w:after="0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Business Act, No. 42 of 2011;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50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Building Research Institute</w:t>
      </w:r>
    </w:p>
    <w:p>
      <w:pPr>
        <w:autoSpaceDN w:val="0"/>
        <w:tabs>
          <w:tab w:pos="3342" w:val="left"/>
          <w:tab w:pos="4708" w:val="left"/>
          <w:tab w:pos="5130" w:val="left"/>
          <w:tab w:pos="5458" w:val="left"/>
          <w:tab w:pos="6334" w:val="left"/>
        </w:tabs>
        <w:autoSpaceDE w:val="0"/>
        <w:widowControl/>
        <w:spacing w:line="257" w:lineRule="auto" w:before="496" w:after="0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“Geotechnical instability” means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instability caused by subsoils that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the circumstances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tabs>
          <w:tab w:pos="1408" w:val="left"/>
          <w:tab w:pos="3342" w:val="left"/>
        </w:tabs>
        <w:autoSpaceDE w:val="0"/>
        <w:widowControl/>
        <w:spacing w:line="259" w:lineRule="auto" w:before="2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conditions has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potential to expand, collapse, disperse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undergo excessive settlement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relatively low stress conditions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failure of buildings and structures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built on it;</w:t>
      </w:r>
    </w:p>
    <w:p>
      <w:pPr>
        <w:autoSpaceDN w:val="0"/>
        <w:autoSpaceDE w:val="0"/>
        <w:widowControl/>
        <w:spacing w:line="238" w:lineRule="auto" w:before="276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“Geotechnical Stability Assessment  Report”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</w:t>
            </w:r>
          </w:p>
        </w:tc>
      </w:tr>
    </w:tbl>
    <w:p>
      <w:pPr>
        <w:autoSpaceDN w:val="0"/>
        <w:tabs>
          <w:tab w:pos="3342" w:val="left"/>
        </w:tabs>
        <w:autoSpaceDE w:val="0"/>
        <w:widowControl/>
        <w:spacing w:line="259" w:lineRule="auto" w:before="12" w:after="1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geotechnical stability concerns, issues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activity involving deep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excavation, underground excavation,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 improvement work, retaining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structures, or substructure construction </w:t>
      </w:r>
      <w:r>
        <w:rPr>
          <w:rFonts w:ascii="Times" w:hAnsi="Times" w:eastAsia="Times"/>
          <w:b w:val="0"/>
          <w:i w:val="0"/>
          <w:color w:val="221F1F"/>
          <w:sz w:val="20"/>
        </w:rPr>
        <w:t>work which may adversely affect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site, adjoining properties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proposed development, subject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geotechnical assessment on ground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8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slope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angle,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geological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5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geotechnical characteristics, geological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formation, characteristics of rock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discontinuities,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behaviour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tabs>
          <w:tab w:pos="3342" w:val="left"/>
        </w:tabs>
        <w:autoSpaceDE w:val="0"/>
        <w:widowControl/>
        <w:spacing w:line="259" w:lineRule="auto" w:before="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subsurface water, potential for surface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 stagnation, and effect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dewatering and includes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guidelines, technical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and mitigation measures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appropriate;</w:t>
      </w:r>
    </w:p>
    <w:p>
      <w:pPr>
        <w:autoSpaceDN w:val="0"/>
        <w:autoSpaceDE w:val="0"/>
        <w:widowControl/>
        <w:spacing w:line="254" w:lineRule="auto" w:before="294" w:after="0"/>
        <w:ind w:left="3342" w:right="2448" w:hanging="6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“hazard zonation map” means, a map that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identifying the area prone to</w:t>
      </w:r>
    </w:p>
    <w:p>
      <w:pPr>
        <w:autoSpaceDN w:val="0"/>
        <w:tabs>
          <w:tab w:pos="3342" w:val="left"/>
        </w:tabs>
        <w:autoSpaceDE w:val="0"/>
        <w:widowControl/>
        <w:spacing w:line="269" w:lineRule="auto" w:before="3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hazards, indicating zones having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50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Building Research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74" w:after="2"/>
        <w:ind w:left="34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levels of susceptibilities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 addition contain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the particular hazards such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sketches of evacuation routes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shelters, evaluation of disaster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possibility and frequency, warning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evacuation systems, distribution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settlements, and other basic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related to disaster;</w:t>
      </w:r>
    </w:p>
    <w:p>
      <w:pPr>
        <w:autoSpaceDN w:val="0"/>
        <w:tabs>
          <w:tab w:pos="2836" w:val="left"/>
          <w:tab w:pos="3436" w:val="left"/>
        </w:tabs>
        <w:autoSpaceDE w:val="0"/>
        <w:widowControl/>
        <w:spacing w:line="247" w:lineRule="auto" w:before="224" w:after="182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“landslide” means any type of mass movement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land subsidence created or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created due to human activities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natural causes;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96" w:right="1152" w:hanging="6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“landslide danger zone” means, an exclusion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declared by the Institute for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4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period of time to prevent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taking place therein,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human occupation that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8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endanger the lives of persons or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injury and property damage in 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area subject to an imminent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danger of a landslide disaster;</w:t>
      </w:r>
    </w:p>
    <w:p>
      <w:pPr>
        <w:autoSpaceDN w:val="0"/>
        <w:autoSpaceDE w:val="0"/>
        <w:widowControl/>
        <w:spacing w:line="245" w:lineRule="auto" w:before="242" w:after="4"/>
        <w:ind w:left="3436" w:right="2304" w:hanging="5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“Landslide Risk Assessment Report”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document issued in respect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8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construction or development activity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area</w:t>
            </w:r>
            <w:r>
              <w:rPr>
                <w:rFonts w:ascii="Times" w:hAnsi="Times" w:eastAsia="Times"/>
                <w:b w:val="0"/>
                <w:i w:val="0"/>
                <w:strike/>
                <w:color w:val="221F1F"/>
                <w:sz w:val="20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prone to landslides, and includes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34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guidelines, technical advice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mitigation measures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96" w:right="1152" w:hanging="6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 the Minister to whom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is assigned under Article 44 or 45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Constitution; and</w:t>
      </w:r>
    </w:p>
    <w:p>
      <w:pPr>
        <w:autoSpaceDN w:val="0"/>
        <w:tabs>
          <w:tab w:pos="2836" w:val="left"/>
          <w:tab w:pos="3436" w:val="left"/>
        </w:tabs>
        <w:autoSpaceDE w:val="0"/>
        <w:widowControl/>
        <w:spacing w:line="250" w:lineRule="auto" w:before="26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authorities” includes every ministry,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provincial council,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department, and local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2" w:val="left"/>
        </w:tabs>
        <w:autoSpaceDE w:val="0"/>
        <w:widowControl/>
        <w:spacing w:line="250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Building Research Institute</w:t>
      </w:r>
    </w:p>
    <w:p>
      <w:pPr>
        <w:autoSpaceDN w:val="0"/>
        <w:autoSpaceDE w:val="0"/>
        <w:widowControl/>
        <w:spacing w:line="254" w:lineRule="auto" w:before="516" w:after="212"/>
        <w:ind w:left="33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and project approving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 empowered to approve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proposals for implementation.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National Building Research Organisation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pursuant to the Decision of the Cabinet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(Cabinet Decision No. 07/0435/343/002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4, 2007) shall cease to operate with effect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2" w:after="1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officers and employees of the National Building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Organisation who were in employment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Organisation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and who have not reached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ages of retirement as at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Act, shall be offered employment with effect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commencement of this Act in the Institute, on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conditions not less favorable to the terms and conditions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 applicable to them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Act; </w:t>
      </w:r>
    </w:p>
    <w:p>
      <w:pPr>
        <w:autoSpaceDN w:val="0"/>
        <w:autoSpaceDE w:val="0"/>
        <w:widowControl/>
        <w:spacing w:line="238" w:lineRule="auto" w:before="274" w:after="1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officer and employee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wishes to opt out of employment in the Institute,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so within six months from the date on which he was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offered employment in the Institute.</w:t>
      </w:r>
    </w:p>
    <w:p>
      <w:pPr>
        <w:autoSpaceDN w:val="0"/>
        <w:autoSpaceDE w:val="0"/>
        <w:widowControl/>
        <w:spacing w:line="250" w:lineRule="auto" w:before="272" w:after="1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any such officer or employee as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exercises his option not to accept the offer,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compensation under a voluntary retirement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scheme to be implemented in that behalf, with the approval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and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Tamil texts of this Act, the Sinhala text shall prevail.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620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Building Research Institute</w:t>
            </w:r>
          </w:p>
        </w:tc>
        <w:tc>
          <w:tcPr>
            <w:tcW w:type="dxa" w:w="1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