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NATIONAL  LAND  COMMISSION</w:t>
      </w:r>
    </w:p>
    <w:p>
      <w:pPr>
        <w:autoSpaceDN w:val="0"/>
        <w:autoSpaceDE w:val="0"/>
        <w:widowControl/>
        <w:spacing w:line="238" w:lineRule="auto" w:before="44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4" w:lineRule="auto" w:before="31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of the National Land Commission for giving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effect to the provisions of paragraph 3 of appendix II to the list I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(Provincial Council list) of ninth schedule to the Constitution and for </w:t>
      </w:r>
      <w:r>
        <w:rPr>
          <w:rFonts w:ascii="Times,Bold" w:hAnsi="Times,Bold" w:eastAsia="Times,Bold"/>
          <w:b/>
          <w:i w:val="0"/>
          <w:color w:val="221F1F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35" w:lineRule="auto" w:before="22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02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Tourism and Lands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03rd of September, 2024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16, 2024)</w:t>
      </w:r>
    </w:p>
    <w:p>
      <w:pPr>
        <w:autoSpaceDN w:val="0"/>
        <w:autoSpaceDE w:val="0"/>
        <w:widowControl/>
        <w:spacing w:line="238" w:lineRule="auto" w:before="1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6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294]</w:t>
      </w:r>
    </w:p>
    <w:p>
      <w:pPr>
        <w:autoSpaceDN w:val="0"/>
        <w:autoSpaceDE w:val="0"/>
        <w:widowControl/>
        <w:spacing w:line="245" w:lineRule="auto" w:before="68" w:after="5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12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8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828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24/2024</w:t>
      </w:r>
    </w:p>
    <w:p>
      <w:pPr>
        <w:autoSpaceDN w:val="0"/>
        <w:autoSpaceDE w:val="0"/>
        <w:widowControl/>
        <w:spacing w:line="266" w:lineRule="auto" w:before="29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GIVING</w:t>
      </w:r>
      <w:r>
        <w:rPr>
          <w:rFonts w:ascii="Times" w:hAnsi="Times" w:eastAsia="Times"/>
          <w:b w:val="0"/>
          <w:i w:val="0"/>
          <w:color w:val="000000"/>
          <w:sz w:val="14"/>
        </w:rPr>
        <w:t>EFFECT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PARAGRAPH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APPENDIX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LIST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4"/>
        </w:rPr>
        <w:t>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NINTH </w:t>
      </w:r>
      <w:r>
        <w:rPr>
          <w:rFonts w:ascii="Times" w:hAnsi="Times" w:eastAsia="Times"/>
          <w:b w:val="0"/>
          <w:i w:val="0"/>
          <w:color w:val="000000"/>
          <w:sz w:val="14"/>
        </w:rPr>
        <w:t>SCHEDULE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6" w:after="0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National Land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Act, No.   of 2024.</w:t>
      </w:r>
    </w:p>
    <w:p>
      <w:pPr>
        <w:autoSpaceDN w:val="0"/>
        <w:tabs>
          <w:tab w:pos="3896" w:val="left"/>
        </w:tabs>
        <w:autoSpaceDE w:val="0"/>
        <w:widowControl/>
        <w:spacing w:line="240" w:lineRule="auto" w:before="294" w:after="0"/>
        <w:ind w:left="15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98" w:after="236"/>
        <w:ind w:left="0" w:right="2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Commission called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known as the National Land Commission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62" w:after="236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the following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62" w:lineRule="auto" w:before="1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Lands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Additional Secretary of such Ministry;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Home Affairs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Additional Secretary of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Commissioner-General of Lands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3 of the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Ordinance (Chapter 464);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69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Central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Environmental Authority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of the National Environmental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47 of 1980;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64" w:lineRule="auto" w:before="310" w:after="24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Agriculture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3 of the Department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Agriculture Ordinance (Chapter 441);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Urban</w:t>
            </w:r>
          </w:p>
        </w:tc>
      </w:tr>
    </w:tbl>
    <w:p>
      <w:pPr>
        <w:autoSpaceDN w:val="0"/>
        <w:autoSpaceDE w:val="0"/>
        <w:widowControl/>
        <w:spacing w:line="264" w:lineRule="auto" w:before="10" w:after="25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Authority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of the Urban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Law, No. 41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Treasury not below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rank of a Director-General nominated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Secretary to the Treasury;</w:t>
      </w:r>
    </w:p>
    <w:p>
      <w:pPr>
        <w:autoSpaceDN w:val="0"/>
        <w:tabs>
          <w:tab w:pos="2900" w:val="left"/>
          <w:tab w:pos="2902" w:val="left"/>
        </w:tabs>
        <w:autoSpaceDE w:val="0"/>
        <w:widowControl/>
        <w:spacing w:line="266" w:lineRule="auto" w:before="308" w:after="248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Conservator-General of Forests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58 of the Forest Conservation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451);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Director-General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Wildlife</w:t>
            </w:r>
          </w:p>
        </w:tc>
      </w:tr>
    </w:tbl>
    <w:p>
      <w:pPr>
        <w:autoSpaceDN w:val="0"/>
        <w:autoSpaceDE w:val="0"/>
        <w:widowControl/>
        <w:spacing w:line="266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Conservation who is the Director-General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the purpose of the Fauna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Flora Protection Ordinance (Chapter 469);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59" w:lineRule="auto" w:before="530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members from among persons who have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and expertise in the field of land,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agriculture, soil science, land use planning, urban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development, watershed management or plantation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agriculture, appointed by the President (hereinafter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“appointed members”); and</w:t>
      </w:r>
    </w:p>
    <w:p>
      <w:pPr>
        <w:autoSpaceDN w:val="0"/>
        <w:tabs>
          <w:tab w:pos="2126" w:val="left"/>
          <w:tab w:pos="2518" w:val="left"/>
          <w:tab w:pos="2536" w:val="left"/>
        </w:tabs>
        <w:autoSpaceDE w:val="0"/>
        <w:widowControl/>
        <w:spacing w:line="257" w:lineRule="auto" w:before="27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nine members who have experience and 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subject of land, to represent the 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Councils, nominated by each Provincial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“nominated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members”).</w:t>
      </w:r>
    </w:p>
    <w:p>
      <w:pPr>
        <w:autoSpaceDN w:val="0"/>
        <w:autoSpaceDE w:val="0"/>
        <w:widowControl/>
        <w:spacing w:line="254" w:lineRule="auto" w:before="2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having regard to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8, appoint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8" w:after="218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of the Commission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from among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 or continuing as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Commission,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tabs>
          <w:tab w:pos="2516" w:val="left"/>
          <w:tab w:pos="6718" w:val="left"/>
        </w:tabs>
        <w:autoSpaceDE w:val="0"/>
        <w:widowControl/>
        <w:spacing w:line="257" w:lineRule="auto" w:before="6" w:after="0"/>
        <w:ind w:left="211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not, or ceases to be, a citizen of Sri Lanka;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of, Parliament,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person who having been declared an insolvent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bankrupt under any law in Sri Lanka or any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is,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country,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convicted of an offence involving moral turpitude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imprisonment for a term not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than six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by a Court of Sri Lanka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country; or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94" w:after="22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prejudicially,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appointed and nominated member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shall, unless he vacates office earlier by death,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 or removal, hold office for a period of five years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 or nomination, as the case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be, and unless removed from office, shall be eligible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re-appointment or re-nomination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not more than 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term,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3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appointed member of the Commission may,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time, resign from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office by letter in that behalf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etc.,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President, and such resignation shall take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date on which the resignation is accepted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writing by the President.</w:t>
      </w:r>
    </w:p>
    <w:p>
      <w:pPr>
        <w:autoSpaceDN w:val="0"/>
        <w:autoSpaceDE w:val="0"/>
        <w:widowControl/>
        <w:spacing w:line="259" w:lineRule="auto" w:before="294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for reasons assigned therefor,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 has been removed from office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eligible for re-appointment as a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any other capacity.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vacation of office by death, resignation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removal from office of any appointed member, the </w:t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shall, having regard to the provisions of paragraph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3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(1) and subsection (2)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3, appoint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74" w:lineRule="auto" w:before="53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to fill such vacancy, and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such office for the un-expired period of the term of </w:t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tabs>
          <w:tab w:pos="1594" w:val="left"/>
          <w:tab w:pos="1798" w:val="left"/>
          <w:tab w:pos="2038" w:val="left"/>
        </w:tabs>
        <w:autoSpaceDE w:val="0"/>
        <w:widowControl/>
        <w:spacing w:line="286" w:lineRule="auto" w:before="334" w:after="0"/>
        <w:ind w:left="1466" w:right="2304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4) Where any appointed member of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ill health or any other cause, or being absent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having regard to the provisions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and subsection (2) of section 3,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to act in place of such member during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absence.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4" w:after="26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appointed member of the Commission 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attend three consecutive meetings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notifying his absence in advance to the Chairperson,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shall be deemed to have vacated his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third meeting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and subsection (2) of section 3, appoint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nominated member of the Commission may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removed from office by the Provincial Council which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etc.,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such member.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nominated member of the Commission may,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time, resign from his office by letter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Chairman of the Provincial Council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him and the Chairperson of the Commission,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resignation shall take effect from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is accepted in writing by the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50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 from office of any nominated member,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Provincial Council shall, nominate another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experience and knowledge in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to fill such vacancy, and such person shall hold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un-expired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nominated member of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ill health or any other cause, or being absent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Provincial Council shall nominate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act in place of such member 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nominated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attend three consecutive meetings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notifying his absence in advance to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Commission, such member shall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from the date of such third meeting and </w:t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Provincial Council shall nominate another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42" w:after="25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person who has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and knowledge in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land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appointed member of the Commission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to the President a general disclosure of any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interests as at the time of appointment, before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assuming office as such member, in the prescribed form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disclose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submit to the President such declaration once a year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interest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during his term of office.</w:t>
      </w:r>
    </w:p>
    <w:p>
      <w:pPr>
        <w:autoSpaceDN w:val="0"/>
        <w:autoSpaceDE w:val="0"/>
        <w:widowControl/>
        <w:spacing w:line="259" w:lineRule="auto" w:before="308" w:after="2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member of the Commission who is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indirectly, interested in any contract, agreement or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matter made or proposed to be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forthwith disclose the nature and extent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6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interest to the Commission and every such disclosure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recorded in the minutes of the Commission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shall not thereafter participate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 or decision of the Commission with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contract, agreement, business or other matter.</w:t>
      </w:r>
    </w:p>
    <w:p>
      <w:pPr>
        <w:autoSpaceDN w:val="0"/>
        <w:autoSpaceDE w:val="0"/>
        <w:widowControl/>
        <w:spacing w:line="271" w:lineRule="auto" w:before="326" w:after="2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maintain a register or a record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interest as referred to in subsections (1) and (2), on </w:t>
      </w:r>
      <w:r>
        <w:rPr>
          <w:rFonts w:ascii="Times" w:hAnsi="Times" w:eastAsia="Times"/>
          <w:b w:val="0"/>
          <w:i w:val="0"/>
          <w:color w:val="000000"/>
          <w:sz w:val="20"/>
        </w:rPr>
        <w:t>case-by 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Commission shall be held 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every month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exercising, performing and discharging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 of the Commission specified in this Act.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quorum for any meeting of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eleven members including the Chairperson.</w:t>
      </w:r>
    </w:p>
    <w:p>
      <w:pPr>
        <w:autoSpaceDN w:val="0"/>
        <w:tabs>
          <w:tab w:pos="2038" w:val="left"/>
        </w:tabs>
        <w:autoSpaceDE w:val="0"/>
        <w:widowControl/>
        <w:spacing w:line="240" w:lineRule="auto" w:before="32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A meeting of the Commission may be held either –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number of members who constitute a 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audio-visual communication by which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participating and constituting a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during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and voting at such meeting.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shall, in addition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vote, have a casting vote.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51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Commission. In the absence of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meeting of the Commission, any member elected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81" w:lineRule="auto" w:before="342" w:after="2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regulate the procedure to be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summoning and holding of meetings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act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members, and any act or proceeding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not be, or deemed to be, invalid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any defect in the appointment of a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6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shall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in such manner and at such rates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President in consultation with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Finance.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whenever it considers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invite experts to any meeting of the Commission,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invite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experts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have expertise on any subject which is dealt with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3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at such meeting for the purpose of obtaining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views on such subject matter for the effective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of the functions of the Commission:</w:t>
      </w:r>
    </w:p>
    <w:p>
      <w:pPr>
        <w:autoSpaceDN w:val="0"/>
        <w:autoSpaceDE w:val="0"/>
        <w:widowControl/>
        <w:spacing w:line="264" w:lineRule="auto" w:before="32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shall have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absolute discretion of accepting or rejecting the views of </w:t>
      </w:r>
      <w:r>
        <w:rPr>
          <w:rFonts w:ascii="Times" w:hAnsi="Times" w:eastAsia="Times"/>
          <w:b w:val="0"/>
          <w:i w:val="0"/>
          <w:color w:val="000000"/>
          <w:sz w:val="20"/>
        </w:rPr>
        <w:t>such experts.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5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experts shall have no voting rights.</w:t>
      </w:r>
    </w:p>
    <w:p>
      <w:pPr>
        <w:autoSpaceDN w:val="0"/>
        <w:autoSpaceDE w:val="0"/>
        <w:widowControl/>
        <w:spacing w:line="269" w:lineRule="auto" w:before="322" w:after="25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experts may be paid such honorarium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Commission for attending meetings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Commission shall be as determined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seal of the Commission 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6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 the custody of such person or persons as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may determine from time to time.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not be affixed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 except with the sanction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member of the Commission who shall sign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instrument or document in token of their presence: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Chairperson is unable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the time when the seal of the Commission is affixed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instrument or document, any other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in writing by the Chairperson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in accordance with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subsection.</w:t>
      </w:r>
    </w:p>
    <w:p>
      <w:pPr>
        <w:autoSpaceDN w:val="0"/>
        <w:autoSpaceDE w:val="0"/>
        <w:widowControl/>
        <w:spacing w:line="235" w:lineRule="auto" w:before="302" w:after="1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 maintain a register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instruments and documents to which the seal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has been affixed.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38" w:lineRule="auto" w:before="526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22" w:after="26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powers, duties and functions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the national policy with regard to the use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State lands as specified in paragraph 3:1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to the List I (Provincial Council List)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Ninth Schedule to the Constitution,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technical aspects but not on political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communal aspects;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lay down general norms in regard to the use of State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8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lands as specified in paragraph 3:3 of APPENDIX II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List I (Provincial Council List) of the Ninth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the Constitution,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such as soil, climate, rainfall, soil erosion,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forest cover, environmental factors, economic </w:t>
      </w:r>
      <w:r>
        <w:rPr>
          <w:rFonts w:ascii="Times" w:hAnsi="Times" w:eastAsia="Times"/>
          <w:b w:val="0"/>
          <w:i w:val="0"/>
          <w:color w:val="000000"/>
          <w:sz w:val="20"/>
        </w:rPr>
        <w:t>viability;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carryout necessary surveys, inspections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investigations relating to State lands and prepare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on them, in the formulation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policy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2" w:after="26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open, maintain and operate current, savings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accounts in any bank and, if necessary,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close such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to do such other acts or things incidental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connected with powers, duties and functions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300" w:lineRule="auto" w:before="5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formulation of the national policy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by the Commission,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take steps to submit such national policy to </w:t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 for information, which shall be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78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Minister and be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official website of the Ministry of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5" w:lineRule="auto" w:before="38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in exercising, performing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discharging, its powers, duties and functions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authorize any employee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enter any State land at any reasonable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after giving three day’s prior notice in writing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owner or occupier of such State land.</w:t>
      </w:r>
    </w:p>
    <w:p>
      <w:pPr>
        <w:autoSpaceDN w:val="0"/>
        <w:tabs>
          <w:tab w:pos="1798" w:val="left"/>
          <w:tab w:pos="2038" w:val="left"/>
          <w:tab w:pos="6736" w:val="left"/>
        </w:tabs>
        <w:autoSpaceDE w:val="0"/>
        <w:widowControl/>
        <w:spacing w:line="307" w:lineRule="auto" w:before="384" w:after="0"/>
        <w:ind w:left="145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15.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For the purposes of enabling the Commission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any of its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under this Act, the Commission or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in that behalf by the Commission may, by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require any person to furnish 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the person authorized by the Commission, within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as shall be specified in the notice, such information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regarding the State lands as shall be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such notice.</w:t>
      </w:r>
    </w:p>
    <w:p>
      <w:pPr>
        <w:autoSpaceDN w:val="0"/>
        <w:autoSpaceDE w:val="0"/>
        <w:widowControl/>
        <w:spacing w:line="293" w:lineRule="auto" w:before="38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who is required in </w:t>
      </w:r>
      <w:r>
        <w:rPr>
          <w:rFonts w:ascii="Times" w:hAnsi="Times" w:eastAsia="Times"/>
          <w:b w:val="0"/>
          <w:i w:val="0"/>
          <w:color w:val="000000"/>
          <w:sz w:val="20"/>
        </w:rPr>
        <w:t>that regard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notice under subsection (1), to furnish any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document within the period specified in such</w:t>
      </w:r>
    </w:p>
    <w:p>
      <w:pPr>
        <w:autoSpaceDN w:val="0"/>
        <w:tabs>
          <w:tab w:pos="1798" w:val="left"/>
        </w:tabs>
        <w:autoSpaceDE w:val="0"/>
        <w:widowControl/>
        <w:spacing w:line="290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notice, except where such person is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furnishing such information or document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any other written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35" w:lineRule="auto" w:before="496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6" w:after="238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ECHNICAL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Land Commission shall have a Technical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Technical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Secretariat representing all the relevant disciplines as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paragraph 3:2 of APPENDIX II to the List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(Provincial Council List) of the Ninth Schedule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required to evaluate the physical as well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socio-economic factors that are relevant to natural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management.</w:t>
      </w:r>
    </w:p>
    <w:p>
      <w:pPr>
        <w:autoSpaceDN w:val="0"/>
        <w:tabs>
          <w:tab w:pos="3736" w:val="left"/>
        </w:tabs>
        <w:autoSpaceDE w:val="0"/>
        <w:widowControl/>
        <w:spacing w:line="247" w:lineRule="auto" w:before="55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8" w:after="236"/>
        <w:ind w:left="0" w:right="3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appointed by the Minister,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of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Commission, a Director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“Director”), whose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 and experience, the terms and conditions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shall be as prescribed.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4" w:lineRule="auto" w:before="23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 shall, subject to the general directions </w:t>
      </w:r>
      <w:r>
        <w:rPr>
          <w:rFonts w:ascii="Times" w:hAnsi="Times" w:eastAsia="Times"/>
          <w:b w:val="0"/>
          <w:i w:val="0"/>
          <w:color w:val="000000"/>
          <w:sz w:val="20"/>
        </w:rPr>
        <w:t>and supervision of the Commission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with the administration of the affairs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including the administration and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control of the staff;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the execution of all decisions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all such functions as may be assigned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by 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9" w:lineRule="auto" w:before="4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shall be entitled to be present and speak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any meeting of the Commission, but shall not be entitled </w:t>
      </w:r>
      <w:r>
        <w:rPr>
          <w:rFonts w:ascii="Times" w:hAnsi="Times" w:eastAsia="Times"/>
          <w:b w:val="0"/>
          <w:i w:val="0"/>
          <w:color w:val="000000"/>
          <w:sz w:val="20"/>
        </w:rPr>
        <w:t>to vote at such meeting.</w:t>
      </w:r>
    </w:p>
    <w:p>
      <w:pPr>
        <w:autoSpaceDN w:val="0"/>
        <w:tabs>
          <w:tab w:pos="1572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 may, with the written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whenever he considers it necessary to do so,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 in writing to any officer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employee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any of his powers, duties or functions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 and the officer or employee to whom any such power,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or function is delegated shall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</w:t>
      </w:r>
      <w:r>
        <w:rPr>
          <w:rFonts w:ascii="Times" w:hAnsi="Times" w:eastAsia="Times"/>
          <w:b w:val="0"/>
          <w:i w:val="0"/>
          <w:color w:val="000000"/>
          <w:sz w:val="20"/>
        </w:rPr>
        <w:t>them subject to the directions of the Commission.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remove the Director from the office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becomes permanently incapable of exercising,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performing or discharging his powers, duties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the 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he had done any act which, in the opinion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is of a fraudulent or illegal nature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interests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</w:tr>
    </w:tbl>
    <w:p>
      <w:pPr>
        <w:autoSpaceDN w:val="0"/>
        <w:autoSpaceDE w:val="0"/>
        <w:widowControl/>
        <w:spacing w:line="264" w:lineRule="auto" w:before="226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office of the Director shall become vacant upon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death, removal from office under subsection (5) or </w:t>
      </w:r>
      <w:r>
        <w:rPr>
          <w:rFonts w:ascii="Times" w:hAnsi="Times" w:eastAsia="Times"/>
          <w:b w:val="0"/>
          <w:i w:val="0"/>
          <w:color w:val="000000"/>
          <w:sz w:val="20"/>
        </w:rPr>
        <w:t>resignation by letter in that behalf addressed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by the holder of 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 If any vacancy occurs in the office of the Director,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may, in consultation with the Commission, appoint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of the Commission to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Director, until an appointment is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47" w:lineRule="auto" w:before="484" w:after="20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Director shall be paid such remuneration as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Minister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appoint such officers and employees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staff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200" w:after="20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in respect of the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>employees appointed under subsection (1)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or dismiss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employees;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terms and conditions of employment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officers and employees;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fix the rates at which such officers and employees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remunerated in keeping with relevant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of the Government and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Finance.</w:t>
      </w:r>
    </w:p>
    <w:p>
      <w:pPr>
        <w:autoSpaceDN w:val="0"/>
        <w:autoSpaceDE w:val="0"/>
        <w:widowControl/>
        <w:spacing w:line="247" w:lineRule="auto" w:before="260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not, however, appoint as an </w:t>
      </w:r>
      <w:r>
        <w:rPr>
          <w:rFonts w:ascii="Times" w:hAnsi="Times" w:eastAsia="Times"/>
          <w:b w:val="0"/>
          <w:i w:val="0"/>
          <w:color w:val="000000"/>
          <w:sz w:val="20"/>
        </w:rPr>
        <w:t>officer or other employee of the Commission,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has been dismissed from any previous position held 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in the public or private sector.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Commission, any officer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may, with the consent of that officer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in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Public Service Commission be temporarily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public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staff of the Commission for such period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to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Commission, or with like consent,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3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the staff of the Commission, the provisions of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 of the National Transport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6" w:lineRule="auto" w:before="50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64" w:lineRule="auto" w:before="33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the staff of the Commission, the provisions of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56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336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336" w:after="276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9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76" w:lineRule="auto" w:before="336" w:after="2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from time to time,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81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powers, duties and  functions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loans, donations, gifts, bequests or grants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whatsoever source within or outside Sri Lanka:</w:t>
      </w:r>
    </w:p>
    <w:p>
      <w:pPr>
        <w:autoSpaceDN w:val="0"/>
        <w:tabs>
          <w:tab w:pos="2518" w:val="left"/>
          <w:tab w:pos="2938" w:val="left"/>
        </w:tabs>
        <w:autoSpaceDE w:val="0"/>
        <w:widowControl/>
        <w:spacing w:line="290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Commission shall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 written approval of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Finance,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grants, gifts or donations made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57" w:lineRule="auto" w:before="488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There shall be paid out of the Fund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Commission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cause proper books of accounts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kept of the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financial transactions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Commission.</w:t>
      </w:r>
    </w:p>
    <w:p>
      <w:pPr>
        <w:autoSpaceDN w:val="0"/>
        <w:autoSpaceDE w:val="0"/>
        <w:widowControl/>
        <w:spacing w:line="238" w:lineRule="auto" w:before="27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subject to such terms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may be specified in writing, delegate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or a member of the Commission or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its powers, duties or functions under this Act,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Chairperson or such member or the</w:t>
      </w:r>
      <w:r>
        <w:rPr>
          <w:rFonts w:ascii="Times" w:hAnsi="Times" w:eastAsia="Times"/>
          <w:b w:val="0"/>
          <w:i w:val="0"/>
          <w:color w:val="000000"/>
          <w:sz w:val="20"/>
        </w:rPr>
        <w:t>Director shall exercise,</w:t>
      </w:r>
    </w:p>
    <w:p>
      <w:pPr>
        <w:autoSpaceDN w:val="0"/>
        <w:tabs>
          <w:tab w:pos="1704" w:val="left"/>
        </w:tabs>
        <w:autoSpaceDE w:val="0"/>
        <w:widowControl/>
        <w:spacing w:line="250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or discharge such power, duty or function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any special or general directions issued by the Commission.</w:t>
      </w:r>
    </w:p>
    <w:p>
      <w:pPr>
        <w:autoSpaceDN w:val="0"/>
        <w:autoSpaceDE w:val="0"/>
        <w:widowControl/>
        <w:spacing w:line="254" w:lineRule="auto" w:before="276" w:after="21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 may exercise, perform or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such power, duty or function so delegated.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establish committees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panels to assist it in the exercise, performance and discharge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powers, duties and functions under this Act, and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panels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such persons as the Commission may deem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members of any such committee or panel.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committee or panel shall carry out its functions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fulfil its obligations as stipulated in the terms of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>given to such committee or panel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238"/>
        <w:ind w:left="159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where it considers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co-opt as a member to a committee or panel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required knowledge and experience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field.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within six months of the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each financial year, submit to the Minister an annual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the activities carried out by the Commission.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documents shall be attached to such report-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Commission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year along with the Auditor-General’s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following the year to which such report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accounts relate.</w:t>
      </w:r>
    </w:p>
    <w:p>
      <w:pPr>
        <w:autoSpaceDN w:val="0"/>
        <w:autoSpaceDE w:val="0"/>
        <w:widowControl/>
        <w:spacing w:line="262" w:lineRule="auto" w:before="298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Minster shall table the annual report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specified in subsection (1) in Parliament for </w:t>
      </w:r>
      <w:r>
        <w:rPr>
          <w:rFonts w:ascii="Times" w:hAnsi="Times" w:eastAsia="Times"/>
          <w:b w:val="0"/>
          <w:i w:val="0"/>
          <w:color w:val="000000"/>
          <w:sz w:val="20"/>
        </w:rPr>
        <w:t>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Chairperson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officers and other employees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secrecy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every expert consulted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12 and members of committees or panels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23, shall, before entering upon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duties, sign a declaration pledging to observe strict secrecy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all matters connected with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which has come to his knowledge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his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under this Act and by such declaration pledge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himself not to disclose any such matter except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exercising, performing and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discharging the powers, duties and functions under</w:t>
      </w:r>
    </w:p>
    <w:p>
      <w:pPr>
        <w:autoSpaceDN w:val="0"/>
        <w:autoSpaceDE w:val="0"/>
        <w:widowControl/>
        <w:spacing w:line="235" w:lineRule="auto" w:before="40" w:after="246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and other members of the Commission,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other employees of the Commission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public officers within the meaning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purposes of the Penal Code 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fficers and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Anti-Corruption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31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Anti-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resists or obstructs any person in performing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his functions or duties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0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fails or refuses to furnish any information or</w:t>
      </w:r>
    </w:p>
    <w:p>
      <w:pPr>
        <w:autoSpaceDN w:val="0"/>
        <w:autoSpaceDE w:val="0"/>
        <w:widowControl/>
        <w:spacing w:line="238" w:lineRule="auto" w:before="4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when requested to do so under section</w:t>
      </w:r>
    </w:p>
    <w:p>
      <w:pPr>
        <w:autoSpaceDN w:val="0"/>
        <w:autoSpaceDE w:val="0"/>
        <w:widowControl/>
        <w:spacing w:line="238" w:lineRule="auto" w:before="38" w:after="224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15;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submits any information or a document under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15 knowing it to be false or misleading,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88" w:lineRule="auto" w:before="514" w:after="2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after summary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by a Magistrate be liable to a fine not exceeding fifty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one month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expenses incurred by the Commission in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in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 or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 brought by or against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Court, shall be paid out of the Fund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paid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 of the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any costs paid to, or recovered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any such suit or prosecution shall be credited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to the Fund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8" w:lineRule="auto" w:before="356" w:after="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expenses incurred by any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Director or any officer or other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before any Court or Tribunal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which is done or is purported to be done by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this Act or on the direction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shall, if the court holds that such act was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faith, be paid out of the Fund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unless such expense is recovered by such person in such suit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prosecution.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0"/>
        <w:ind w:left="1798" w:right="24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which are required by this Act to be prescribed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regulations are required or authorized to </w:t>
      </w: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8" w:lineRule="auto" w:before="3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under subsection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496" w:after="0"/>
        <w:ind w:left="14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subsection (1)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from the date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000000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4" w:lineRule="auto" w:before="296" w:after="23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subject to the provisions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make rules in respect of any matter for which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authorised to be made under this Act or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regulation of the procedure to be followed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summoning and holding of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connected with the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affairs of the Commission.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rule made by the Commission shall be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its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tabs>
          <w:tab w:pos="6642" w:val="left"/>
        </w:tabs>
        <w:autoSpaceDE w:val="0"/>
        <w:widowControl/>
        <w:spacing w:line="247" w:lineRule="auto" w:before="29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32. </w:t>
      </w:r>
      <w:r>
        <w:rPr>
          <w:rFonts w:ascii="Times" w:hAnsi="Times" w:eastAsia="Times"/>
          <w:b w:val="0"/>
          <w:i w:val="0"/>
          <w:color w:val="000000"/>
          <w:sz w:val="20"/>
        </w:rPr>
        <w:t>In this Act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662" w:val="left"/>
          <w:tab w:pos="3142" w:val="left"/>
          <w:tab w:pos="3144" w:val="left"/>
        </w:tabs>
        <w:autoSpaceDE w:val="0"/>
        <w:widowControl/>
        <w:spacing w:line="262" w:lineRule="auto" w:before="28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matter of this Act 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Articles 44 and 45 of the Constitution;</w:t>
      </w:r>
    </w:p>
    <w:p>
      <w:pPr>
        <w:autoSpaceDN w:val="0"/>
        <w:autoSpaceDE w:val="0"/>
        <w:widowControl/>
        <w:spacing w:line="257" w:lineRule="auto" w:before="298" w:after="0"/>
        <w:ind w:left="3144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“occupier” means a person in occupation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premises or having the charge,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500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control thereof,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his own account or as an agent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other, but does not include a lodger;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2" w:lineRule="auto" w:before="296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“premises” means any land together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building or part of a building standing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thereon; and</w:t>
      </w:r>
    </w:p>
    <w:p>
      <w:pPr>
        <w:autoSpaceDN w:val="0"/>
        <w:tabs>
          <w:tab w:pos="3238" w:val="left"/>
        </w:tabs>
        <w:autoSpaceDE w:val="0"/>
        <w:widowControl/>
        <w:spacing w:line="254" w:lineRule="auto" w:before="296" w:after="238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“written” shall include electronically generated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11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1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