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4" w:lineRule="exact" w:before="114" w:after="0"/>
        <w:ind w:left="0" w:right="294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Part II of September 06, 2024</w:t>
      </w:r>
    </w:p>
    <w:p>
      <w:pPr>
        <w:autoSpaceDN w:val="0"/>
        <w:autoSpaceDE w:val="0"/>
        <w:widowControl/>
        <w:spacing w:line="334" w:lineRule="exact" w:before="242" w:after="0"/>
        <w:ind w:left="0" w:right="363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44" w:after="0"/>
        <w:ind w:left="0" w:right="3356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4"/>
        </w:rPr>
        <w:t>(</w:t>
      </w:r>
      <w:r>
        <w:rPr>
          <w:rFonts w:ascii="TimesNewRoman,Italic" w:hAnsi="TimesNewRoman,Italic" w:eastAsia="TimesNewRoman,Italic"/>
          <w:b w:val="0"/>
          <w:i/>
          <w:color w:val="221F1F"/>
          <w:sz w:val="24"/>
        </w:rPr>
        <w:t>Issued on 11.09.2024</w:t>
      </w:r>
      <w:r>
        <w:rPr>
          <w:rFonts w:ascii="TimesNewRoman" w:hAnsi="TimesNewRoman" w:eastAsia="TimesNewRoman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236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60" w:lineRule="exact" w:before="514" w:after="0"/>
        <w:ind w:left="0" w:right="2248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BURIAL AND CREMATION RIGHTS</w:t>
      </w:r>
    </w:p>
    <w:p>
      <w:pPr>
        <w:autoSpaceDN w:val="0"/>
        <w:autoSpaceDE w:val="0"/>
        <w:widowControl/>
        <w:spacing w:line="332" w:lineRule="exact" w:before="416" w:after="0"/>
        <w:ind w:left="0" w:right="43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00" w:after="0"/>
        <w:ind w:left="0" w:right="4166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8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make provisions to confer a right to every person to make a decision on</w:t>
      </w:r>
    </w:p>
    <w:p>
      <w:pPr>
        <w:autoSpaceDN w:val="0"/>
        <w:autoSpaceDE w:val="0"/>
        <w:widowControl/>
        <w:spacing w:line="238" w:lineRule="auto" w:before="26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the manner of disposing the body of such person after death; and for</w:t>
      </w:r>
    </w:p>
    <w:p>
      <w:pPr>
        <w:autoSpaceDN w:val="0"/>
        <w:autoSpaceDE w:val="0"/>
        <w:widowControl/>
        <w:spacing w:line="235" w:lineRule="auto" w:before="30" w:after="0"/>
        <w:ind w:left="0" w:right="235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matters connected therewith or incidental thereto</w:t>
      </w:r>
    </w:p>
    <w:p>
      <w:pPr>
        <w:autoSpaceDN w:val="0"/>
        <w:autoSpaceDE w:val="0"/>
        <w:widowControl/>
        <w:spacing w:line="235" w:lineRule="auto" w:before="364" w:after="0"/>
        <w:ind w:left="171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Justice, Prison Affairs and</w:t>
      </w:r>
    </w:p>
    <w:p>
      <w:pPr>
        <w:autoSpaceDN w:val="0"/>
        <w:autoSpaceDE w:val="0"/>
        <w:widowControl/>
        <w:spacing w:line="238" w:lineRule="auto" w:before="0" w:after="0"/>
        <w:ind w:left="0" w:right="3520" w:firstLine="0"/>
        <w:jc w:val="right"/>
      </w:pP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35" w:lineRule="auto" w:before="216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4" w:val="left"/>
        </w:tabs>
        <w:autoSpaceDE w:val="0"/>
        <w:widowControl/>
        <w:spacing w:line="235" w:lineRule="auto" w:before="40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38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Burial and Cremation Rights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L.D.O. 66/2024</w:t>
      </w:r>
    </w:p>
    <w:p>
      <w:pPr>
        <w:autoSpaceDN w:val="0"/>
        <w:autoSpaceDE w:val="0"/>
        <w:widowControl/>
        <w:spacing w:line="238" w:lineRule="auto" w:before="29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CONFER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RIGHT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EVERY</w:t>
      </w:r>
      <w:r>
        <w:rPr>
          <w:rFonts w:ascii="Times" w:hAnsi="Times" w:eastAsia="Times"/>
          <w:b w:val="0"/>
          <w:i w:val="0"/>
          <w:color w:val="000000"/>
          <w:sz w:val="14"/>
        </w:rPr>
        <w:t>PERSON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</w:p>
    <w:p>
      <w:pPr>
        <w:autoSpaceDN w:val="0"/>
        <w:autoSpaceDE w:val="0"/>
        <w:widowControl/>
        <w:spacing w:line="269" w:lineRule="auto" w:before="92" w:after="0"/>
        <w:ind w:left="2038" w:right="2424" w:hanging="2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DECISION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MANNER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DISPOSING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BODY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SUCH </w:t>
      </w:r>
      <w:r>
        <w:rPr>
          <w:rFonts w:ascii="Times" w:hAnsi="Times" w:eastAsia="Times"/>
          <w:b w:val="0"/>
          <w:i w:val="0"/>
          <w:color w:val="000000"/>
          <w:sz w:val="14"/>
        </w:rPr>
        <w:t>PERSON</w:t>
      </w:r>
      <w:r>
        <w:rPr>
          <w:rFonts w:ascii="Times" w:hAnsi="Times" w:eastAsia="Times"/>
          <w:b w:val="0"/>
          <w:i w:val="0"/>
          <w:color w:val="000000"/>
          <w:sz w:val="14"/>
        </w:rPr>
        <w:t>AFTER</w:t>
      </w:r>
      <w:r>
        <w:rPr>
          <w:rFonts w:ascii="Times" w:hAnsi="Times" w:eastAsia="Times"/>
          <w:b w:val="0"/>
          <w:i w:val="0"/>
          <w:color w:val="000000"/>
          <w:sz w:val="14"/>
        </w:rPr>
        <w:t>DEATH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4" w:lineRule="auto" w:before="296" w:after="23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This Act may be cited as the Burial and Cremation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Rights Act, No         of  2024 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provisions of this Act other than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section shall come into operation on such date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.</w:t>
      </w:r>
    </w:p>
    <w:p>
      <w:pPr>
        <w:autoSpaceDN w:val="0"/>
        <w:autoSpaceDE w:val="0"/>
        <w:widowControl/>
        <w:spacing w:line="254" w:lineRule="auto" w:before="296" w:after="12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on the date on which the Bill becomes an Act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to</w:t>
            </w:r>
          </w:p>
        </w:tc>
      </w:tr>
      <w:tr>
        <w:trPr>
          <w:trHeight w:hRule="exact" w:val="3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Every person who is not less than eighteen years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age, shall have the right to make a decision, to have upon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make a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on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 death,  his  body buried or cremated, in accordance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manner</w:t>
            </w:r>
          </w:p>
        </w:tc>
      </w:tr>
      <w:tr>
        <w:trPr>
          <w:trHeight w:hRule="exact" w:val="19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expressed consent of such person (hereinafter referred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disposal of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body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“deceased”) given during his lifetime.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36" w:after="1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deceased has given consent for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 of his body in accordance with any other written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after the date of the expression of the consent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 the disposition of the body of the deceased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done subject to the provisions of that written law.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Expressed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expressed consent of   the deceased referred to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2, is valid, only if such consent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consent of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deceased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Burial and Cremation Rights</w:t>
            </w:r>
          </w:p>
        </w:tc>
      </w:tr>
      <w:tr>
        <w:trPr>
          <w:trHeight w:hRule="exact" w:val="4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expressed in writing and signed by the deceased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presence of at least two competent witnesses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 shall  attest such  signature;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bears the thumb impression of the deceased placed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by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presence of at least two competent witnesses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shall attest such thumb impression;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expressed in the will of the deceased.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On the death of a person who has not expressed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consent under subsection (1) of section 2, as to the manner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next of</w:t>
            </w:r>
          </w:p>
        </w:tc>
      </w:tr>
      <w:tr>
        <w:trPr>
          <w:trHeight w:hRule="exact" w:val="25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disposal of his body after death, the next of kin of such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kin</w:t>
            </w:r>
          </w:p>
        </w:tc>
      </w:tr>
    </w:tbl>
    <w:p>
      <w:pPr>
        <w:autoSpaceDN w:val="0"/>
        <w:autoSpaceDE w:val="0"/>
        <w:widowControl/>
        <w:spacing w:line="252" w:lineRule="auto" w:before="2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shall have the right to decide whether the body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shall be buried or cremated, giving due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consideration to the known preferences and religious, </w:t>
      </w:r>
      <w:r>
        <w:rPr>
          <w:rFonts w:ascii="Times" w:hAnsi="Times" w:eastAsia="Times"/>
          <w:b w:val="0"/>
          <w:i w:val="0"/>
          <w:color w:val="000000"/>
          <w:sz w:val="20"/>
        </w:rPr>
        <w:t>cultural or personal beliefs of the deceased 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44" w:after="20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Notwithstanding the provisions of subsection (1),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next of kin of a person referred to in subsection (1) shall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the right to make a decision to donate the body of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in terms of the provisions of any other written law, </w:t>
      </w:r>
      <w:r>
        <w:rPr>
          <w:rFonts w:ascii="Times" w:hAnsi="Times" w:eastAsia="Times"/>
          <w:b w:val="0"/>
          <w:i w:val="0"/>
          <w:color w:val="000000"/>
          <w:sz w:val="20"/>
        </w:rPr>
        <w:t>for the time being in force.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Save as provided for in any other written law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person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 being in force, a person shall not be compelled to dispose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shall not be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compelled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body of a deceased in a manner contrary to the decision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contrary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deceased or the  next of kin of the deceased,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case may be.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of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deceased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96"/>
        <w:ind w:left="0" w:right="21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&amp;c.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 acts against the expressed consent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and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deceased or against the decision of the next of kin,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4" w:lineRule="auto" w:before="10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case may be, other than a person acting in terms of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 for the time being in force as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5, commits an offence and shall upon conviction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 Magistrate be liable to a penalty not exceeding one </w:t>
      </w:r>
      <w:r>
        <w:rPr>
          <w:rFonts w:ascii="Times" w:hAnsi="Times" w:eastAsia="Times"/>
          <w:b w:val="0"/>
          <w:i w:val="0"/>
          <w:color w:val="000000"/>
          <w:sz w:val="20"/>
        </w:rPr>
        <w:t>hundred thousand rupees.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01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Burial and Cremation Rights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59" w:lineRule="auto" w:before="526" w:after="22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 of subsection (1), “person who acts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the expressed consent of the deceased”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>include a next of kin of the deceased.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 make regulations on any matter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which regulations are authorized by this Act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made or required by this Act to be prescribed.</w:t>
      </w:r>
    </w:p>
    <w:p>
      <w:pPr>
        <w:autoSpaceDN w:val="0"/>
        <w:autoSpaceDE w:val="0"/>
        <w:widowControl/>
        <w:spacing w:line="259" w:lineRule="auto" w:before="28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6" w:lineRule="auto" w:before="268" w:after="0"/>
        <w:ind w:left="146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Any regulation which is not so approved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 rescinded as form the date of such  disapproval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without prejudice to anything previously 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thereunder..</w:t>
      </w:r>
    </w:p>
    <w:p>
      <w:pPr>
        <w:autoSpaceDN w:val="0"/>
        <w:autoSpaceDE w:val="0"/>
        <w:widowControl/>
        <w:spacing w:line="235" w:lineRule="auto" w:before="290" w:after="1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Notification of the date, on which any regulation is so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disapproved,  shall be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4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For the purposes of this Act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516" w:val="left"/>
          <w:tab w:pos="2996" w:val="left"/>
        </w:tabs>
        <w:autoSpaceDE w:val="0"/>
        <w:widowControl/>
        <w:spacing w:line="264" w:lineRule="auto" w:before="228" w:after="22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“body” means the body of a deceased person 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still-born child and includes any part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remains of such body but does not include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part of the body of a deceased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removed from his body during his lifetime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course of a surgical operation by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registered medical practitioner;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916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“burial” means burial in earth, interment or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form of sepulture of a body of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deceased person;</w:t>
      </w:r>
    </w:p>
    <w:p>
      <w:pPr>
        <w:autoSpaceDN w:val="0"/>
        <w:tabs>
          <w:tab w:pos="2996" w:val="left"/>
        </w:tabs>
        <w:autoSpaceDE w:val="0"/>
        <w:widowControl/>
        <w:spacing w:line="254" w:lineRule="auto" w:before="296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“competent witness” means a witness not less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eighteen years of age;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18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Burial and Cremation Rights</w:t>
      </w:r>
    </w:p>
    <w:p>
      <w:pPr>
        <w:autoSpaceDN w:val="0"/>
        <w:autoSpaceDE w:val="0"/>
        <w:widowControl/>
        <w:spacing w:line="264" w:lineRule="auto" w:before="520" w:after="0"/>
        <w:ind w:left="290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“cremate” means the act of reducing a deceased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body to ashes by burning and the words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“cremation” and “cremated” 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construed accordingly;</w:t>
      </w:r>
    </w:p>
    <w:p>
      <w:pPr>
        <w:autoSpaceDN w:val="0"/>
        <w:tabs>
          <w:tab w:pos="2422" w:val="left"/>
          <w:tab w:pos="2902" w:val="left"/>
        </w:tabs>
        <w:autoSpaceDE w:val="0"/>
        <w:widowControl/>
        <w:spacing w:line="262" w:lineRule="auto" w:before="296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 of administering this Act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44 or 45 of the Constitution;</w:t>
      </w:r>
    </w:p>
    <w:p>
      <w:pPr>
        <w:autoSpaceDN w:val="0"/>
        <w:tabs>
          <w:tab w:pos="2902" w:val="left"/>
        </w:tabs>
        <w:autoSpaceDE w:val="0"/>
        <w:widowControl/>
        <w:spacing w:line="257" w:lineRule="auto" w:before="298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“next of kin” respectively in the following order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means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surviving spouse;</w:t>
            </w:r>
          </w:p>
        </w:tc>
      </w:tr>
      <w:tr>
        <w:trPr>
          <w:trHeight w:hRule="exact" w:val="68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eldest surviving child;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father;</w:t>
            </w:r>
          </w:p>
        </w:tc>
      </w:tr>
      <w:tr>
        <w:trPr>
          <w:trHeight w:hRule="exact" w:val="52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mother;</w:t>
            </w:r>
          </w:p>
        </w:tc>
      </w:tr>
      <w:tr>
        <w:trPr>
          <w:trHeight w:hRule="exact" w:val="524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eldest surviving brother or sister; or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surviving further descendant;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54" w:lineRule="auto" w:before="234" w:after="23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“will”  means a will within the meaning of the Wills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Ordinance (Chapter 60).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68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618"/>
        </w:trPr>
        <w:tc>
          <w:tcPr>
            <w:tcW w:type="dxa" w:w="45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56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Burial and Cremation Rights</w:t>
            </w:r>
          </w:p>
        </w:tc>
        <w:tc>
          <w:tcPr>
            <w:tcW w:type="dxa" w:w="17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