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2A44"/>
          <w:sz w:val="40"/>
        </w:rPr>
        <w:t>Conferência dos Termos de Uso – versão revisada</w:t>
      </w:r>
    </w:p>
    <w:p>
      <w:pPr>
        <w:spacing w:after="80"/>
      </w:pPr>
      <w:r>
        <w:rPr>
          <w:b w:val="0"/>
          <w:i/>
          <w:sz w:val="20"/>
        </w:rPr>
        <w:t>Fênix Concursos Militares · Suporte · outubro de 2026</w:t>
      </w:r>
    </w:p>
    <w:p>
      <w:pPr>
        <w:spacing w:after="120"/>
      </w:pPr>
      <w:r>
        <w:rPr>
          <w:b w:val="0"/>
          <w:i w:val="0"/>
        </w:rPr>
        <w:t>Objetivo: comparar a versão vigente dos Termos de Uso com a versão revisada (.docx, "Última atualização: 16 de outubro de 2026") e indicar o que foi corrigido, o que ainda falta ajustar e o que depende de decisão ou de validação jurídica. Os erros de origem foram apontados na conferência do Manual de Perguntas Frequentes do Suporte.</w:t>
      </w:r>
    </w:p>
    <w:p>
      <w:pPr>
        <w:spacing w:after="160"/>
      </w:pPr>
      <w:r>
        <w:rPr>
          <w:b w:val="0"/>
          <w:i/>
          <w:sz w:val="19"/>
        </w:rPr>
        <w:t>Observações: a comparação usa o texto vigente enviado por mensagem e o arquivo .docx revisado. Não foi possível abrir o site, então a página publicada não foi conferida. Esta conferência não é parecer jurídico: os itens de validade jurídica estão no bloco E para análise da equipe responsável.</w:t>
      </w:r>
    </w:p>
    <w:p>
      <w:pPr>
        <w:pStyle w:val="Heading1"/>
      </w:pPr>
      <w:r>
        <w:t>Resumo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907"/>
            <w:shd w:val="clear" w:color="auto" w:fill="DCE3F0"/>
          </w:tcPr>
          <w:p>
            <w:r/>
            <w:r>
              <w:rPr>
                <w:b/>
                <w:sz w:val="19"/>
              </w:rPr>
              <w:t>Bloco</w:t>
            </w:r>
          </w:p>
        </w:tc>
        <w:tc>
          <w:tcPr>
            <w:tcW w:type="dxa" w:w="6463"/>
            <w:shd w:val="clear" w:color="auto" w:fill="DCE3F0"/>
          </w:tcPr>
          <w:p>
            <w:r/>
            <w:r>
              <w:rPr>
                <w:b/>
                <w:sz w:val="19"/>
              </w:rPr>
              <w:t>Conteúdo</w:t>
            </w:r>
          </w:p>
        </w:tc>
        <w:tc>
          <w:tcPr>
            <w:tcW w:type="dxa" w:w="2041"/>
            <w:shd w:val="clear" w:color="auto" w:fill="DCE3F0"/>
          </w:tcPr>
          <w:p>
            <w:r/>
            <w:r>
              <w:rPr>
                <w:b/>
                <w:sz w:val="19"/>
              </w:rPr>
              <w:t>Itens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Já corrigido na versão revisada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7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Falta corrigir ou ajustar no .docx revisado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5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Depende de decisão do dono ou confirmação do programador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4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Mudanças no .docx que não estavam no resumo da equipe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8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E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Para validação jurídica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5 temas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F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Verificações que dependem de acesso ao site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3</w:t>
            </w:r>
          </w:p>
        </w:tc>
      </w:tr>
    </w:tbl>
    <w:p>
      <w:pPr>
        <w:spacing w:after="40"/>
      </w:pPr>
    </w:p>
    <w:p>
      <w:pPr>
        <w:pStyle w:val="Heading1"/>
      </w:pPr>
      <w:r>
        <w:t>A. O que foi corrigido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041"/>
            <w:shd w:val="clear" w:color="auto" w:fill="DCE3F0"/>
          </w:tcPr>
          <w:p>
            <w:r/>
            <w:r>
              <w:rPr>
                <w:b/>
                <w:sz w:val="19"/>
              </w:rPr>
              <w:t>Ponto apontado</w:t>
            </w:r>
          </w:p>
        </w:tc>
        <w:tc>
          <w:tcPr>
            <w:tcW w:type="dxa" w:w="2381"/>
            <w:shd w:val="clear" w:color="auto" w:fill="DCE3F0"/>
          </w:tcPr>
          <w:p>
            <w:r/>
            <w:r>
              <w:rPr>
                <w:b/>
                <w:sz w:val="19"/>
              </w:rPr>
              <w:t>Versão vigente</w:t>
            </w:r>
          </w:p>
        </w:tc>
        <w:tc>
          <w:tcPr>
            <w:tcW w:type="dxa" w:w="3288"/>
            <w:shd w:val="clear" w:color="auto" w:fill="DCE3F0"/>
          </w:tcPr>
          <w:p>
            <w:r/>
            <w:r>
              <w:rPr>
                <w:b/>
                <w:sz w:val="19"/>
              </w:rPr>
              <w:t>Versão revisada</w:t>
            </w:r>
          </w:p>
        </w:tc>
        <w:tc>
          <w:tcPr>
            <w:tcW w:type="dxa" w:w="1701"/>
            <w:shd w:val="clear" w:color="auto" w:fill="DCE3F0"/>
          </w:tcPr>
          <w:p>
            <w:r/>
            <w:r>
              <w:rPr>
                <w:b/>
                <w:sz w:val="19"/>
              </w:rPr>
              <w:t>Situação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Item 4.6 proibia 2 aparelhos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A 4.6 já permite 2 sessões no mesmo IP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4.6 a 4.6.4 detalham a regra (1 computador e 1 celular, mesma rede, encerramento da sessão anterior)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</w:rPr>
              <w:t>Resolvido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Tablet tratado como tipo próprio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4.6: "computador, celular ou tablet"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Removido. O tipo é o identificado pelo navegador (4.6.2)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</w:rPr>
              <w:t>Resolvido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Cláusulas duplicadas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1.2, 4.10, 4.11 e 5.9 aparecem duas vezes; numeração fora do padrão (3.1.1, 6.3.2)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Sem duplicidade e sem numeração repetida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</w:rPr>
              <w:t>Resolvido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Sup A divulgado nos Termos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Só consta o +55 17 99766-7873 (Suporte Geral)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Idem (6.4 e 7.1)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</w:rPr>
              <w:t>Resolvido nos Termos (ver F)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Trocar a senha encerra as sessões nos outros aparelhos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Ausente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4.5 e 1.6.1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</w:rPr>
              <w:t>Resolvido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Regras de localização e VPN fora dos Termos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Não existem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4.14 a 4.14.3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</w:rPr>
              <w:t>Resolvido em parte (ver B.3)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Registro do aceite (IP, data, versão)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Ausente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1.10.1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</w:rPr>
              <w:t>Resolvido (validação jurídica)</w:t>
            </w:r>
          </w:p>
        </w:tc>
      </w:tr>
    </w:tbl>
    <w:p>
      <w:pPr>
        <w:spacing w:after="40"/>
      </w:pPr>
    </w:p>
    <w:p>
      <w:pPr>
        <w:pStyle w:val="Heading1"/>
      </w:pPr>
      <w:r>
        <w:t>B. Falta corrigir ou ajustar no .docx revisado</w:t>
      </w:r>
    </w:p>
    <w:p>
      <w:pPr>
        <w:spacing w:after="100"/>
        <w:ind w:left="340" w:hanging="340"/>
      </w:pPr>
      <w:r>
        <w:rPr>
          <w:b/>
        </w:rPr>
        <w:t>1. Item 1.1: texto-modelo sem preencher.</w:t>
      </w:r>
      <w:r>
        <w:t xml:space="preserve"> Consta "{{ENDEREÇO COMPLETO DA SEDE}}". Preencher o endereço antes de publicar.</w:t>
      </w:r>
    </w:p>
    <w:p>
      <w:pPr>
        <w:spacing w:after="100"/>
        <w:ind w:left="340" w:hanging="340"/>
      </w:pPr>
      <w:r>
        <w:rPr>
          <w:b/>
        </w:rPr>
        <w:t>2. Item 3.2.3 contraria o sistema.</w:t>
      </w:r>
      <w:r>
        <w:t xml:space="preserve"> Diz que semestral e anual "não há cobrança automática". Isso vale para o checkout, mas há 291 assinaturas semestrais e anuais vendidas por link do Comercial com cobrança recorrente (assinatura 35683, por exemplo, pagou em 26/03 e em 26/09). Sugestão: distinguir os dois casos ou acrescentar "salvo quando a contratação indicar cobrança recorrente". A afirmação de que Pix e boleto não têm cobrança automática também deve ser conferida no sistema. O texto exato deve ser confirmado com o programador.</w:t>
      </w:r>
    </w:p>
    <w:p>
      <w:pPr>
        <w:spacing w:after="100"/>
        <w:ind w:left="340" w:hanging="340"/>
      </w:pPr>
      <w:r>
        <w:rPr>
          <w:b/>
        </w:rPr>
        <w:t>3. Item 4.14.2 não cobre o 4º caso de bloqueio.</w:t>
      </w:r>
      <w:r>
        <w:t xml:space="preserve"> Falta "localização informada que não confere" (GPS em outro país com internet do Brasil, ou sinais de GPS falso): 128 dos 278 bloqueios. Sugestão: incluir na 4.14.2.</w:t>
      </w:r>
    </w:p>
    <w:p>
      <w:pPr>
        <w:spacing w:after="100"/>
        <w:ind w:left="340" w:hanging="340"/>
      </w:pPr>
      <w:r>
        <w:rPr>
          <w:b/>
        </w:rPr>
        <w:t>4. Itens 3.2.5 e 6.4: cancelamento só por WhatsApp.</w:t>
      </w:r>
      <w:r>
        <w:t xml:space="preserve"> O aluno pode cancelar pelo botão "Cancelar assinatura" da plataforma, quando ele aparece. Sugestão: citar o botão como canal de cancelamento.</w:t>
      </w:r>
    </w:p>
    <w:p>
      <w:pPr>
        <w:spacing w:after="100"/>
        <w:ind w:left="340" w:hanging="340"/>
      </w:pPr>
      <w:r>
        <w:rPr>
          <w:b/>
        </w:rPr>
        <w:t>5. Item 4.6.2: tablet sem regra expressa.</w:t>
      </w:r>
      <w:r>
        <w:t xml:space="preserve"> Sugestão: "o tablet é tratado conforme identificado pelo navegador, podendo ser considerado celular ou computador".</w:t>
      </w:r>
    </w:p>
    <w:p>
      <w:pPr>
        <w:pStyle w:val="Heading1"/>
      </w:pPr>
      <w:r>
        <w:t>C. Depende de decisão do dono ou confirmação do programador</w:t>
      </w:r>
    </w:p>
    <w:p>
      <w:pPr>
        <w:spacing w:after="100"/>
        <w:ind w:left="340" w:hanging="340"/>
      </w:pPr>
      <w:r>
        <w:rPr>
          <w:b/>
        </w:rPr>
        <w:t>1. 6.2.1: garantia de 7 dias também nas renovações.</w:t>
      </w:r>
      <w:r>
        <w:t xml:space="preserve"> A versão vigente excluía as renovações (6.3), com análise a critério da CONTRATADA. É mudança de política, e não só de redação.</w:t>
      </w:r>
    </w:p>
    <w:p>
      <w:pPr>
        <w:spacing w:after="100"/>
        <w:ind w:left="340" w:hanging="340"/>
      </w:pPr>
      <w:r>
        <w:rPr>
          <w:b/>
        </w:rPr>
        <w:t>2. 6.5: estorno de Pix e boleto em 10 dias úteis.</w:t>
      </w:r>
      <w:r>
        <w:t xml:space="preserve"> A versão vigente tem 20 dias úteis para boleto e não cita o Pix. O manual tem "até 3 dias úteis" (Q79) e "sem prazo" (Q91). Confirmar o prazo real e se vale também para cartão. O prazo é contado "da aprovação da solicitação".</w:t>
      </w:r>
    </w:p>
    <w:p>
      <w:pPr>
        <w:spacing w:after="100"/>
        <w:ind w:left="340" w:hanging="340"/>
      </w:pPr>
      <w:r>
        <w:rPr>
          <w:b/>
        </w:rPr>
        <w:t>3. 3.2.8: cupom ou promoção recorrente mantido nas renovações.</w:t>
      </w:r>
      <w:r>
        <w:t xml:space="preserve"> Confirmar com o programador que o sistema mantém o desconto.</w:t>
      </w:r>
    </w:p>
    <w:p>
      <w:pPr>
        <w:spacing w:after="100"/>
        <w:ind w:left="340" w:hanging="340"/>
      </w:pPr>
      <w:r>
        <w:rPr>
          <w:b/>
        </w:rPr>
        <w:t>4. 3.2.4: aviso prévio da renovação por e-mail ou WhatsApp.</w:t>
      </w:r>
      <w:r>
        <w:t xml:space="preserve"> Confirmar que o aviso é realmente enviado.</w:t>
      </w:r>
    </w:p>
    <w:p>
      <w:pPr>
        <w:pStyle w:val="Heading1"/>
      </w:pPr>
      <w:r>
        <w:t>D. Mudanças no .docx que não estavam no resumo da equipe</w:t>
      </w:r>
    </w:p>
    <w:p>
      <w:pPr>
        <w:spacing w:after="60"/>
      </w:pPr>
      <w:r>
        <w:rPr>
          <w:b w:val="0"/>
          <w:i w:val="0"/>
        </w:rPr>
        <w:t>Para validação da equipe jurídica e do dono: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041"/>
            <w:shd w:val="clear" w:color="auto" w:fill="DCE3F0"/>
          </w:tcPr>
          <w:p>
            <w:r/>
            <w:r>
              <w:rPr>
                <w:b/>
                <w:sz w:val="19"/>
              </w:rPr>
              <w:t>Cláusula</w:t>
            </w:r>
          </w:p>
        </w:tc>
        <w:tc>
          <w:tcPr>
            <w:tcW w:type="dxa" w:w="7370"/>
            <w:shd w:val="clear" w:color="auto" w:fill="DCE3F0"/>
          </w:tcPr>
          <w:p>
            <w:r/>
            <w:r>
              <w:rPr>
                <w:b/>
                <w:sz w:val="19"/>
              </w:rPr>
              <w:t>O que mudou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4.10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Nova compensação por prorrogação do acesso em caso de indisponibilidade prolongada imputável à CONTRATADA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4.7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O bloqueio por acessos simultâneos agora exige indícios de uso por terceiros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6.1 e 6.1.1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Define "violação grave" e prevê notificação para regularizar nas demais hipóteses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5.13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Eventos, rankings, desafios e premiações regidos por regulamento próprio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2.9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A cessão de direitos autorais sobre comentários virou licença não exclusiva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2.1, 2.13, 4.9 e 4.12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Ajustes de redação, com referências ao CDC e ao Código Civil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1.1 e 1.1.1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Escopo ampliado (correção de redações, atendimento individual) e página de oferta integrando os Termos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Cabeçalho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"Última atualização: 16 de outubro de 2026"</w:t>
            </w:r>
          </w:p>
        </w:tc>
      </w:tr>
    </w:tbl>
    <w:p>
      <w:pPr>
        <w:spacing w:after="40"/>
      </w:pPr>
    </w:p>
    <w:p>
      <w:pPr>
        <w:pStyle w:val="Heading1"/>
      </w:pPr>
      <w:r>
        <w:t>E. Para validação jurídica</w:t>
      </w:r>
    </w:p>
    <w:p>
      <w:pPr>
        <w:spacing w:after="60"/>
      </w:pPr>
      <w:r>
        <w:rPr>
          <w:b w:val="0"/>
          <w:i w:val="0"/>
        </w:rPr>
        <w:t>Fora do que o suporte consegue avaliar:</w:t>
      </w:r>
    </w:p>
    <w:p>
      <w:pPr>
        <w:pStyle w:val="ListBullet"/>
        <w:spacing w:after="40"/>
      </w:pPr>
      <w:r>
        <w:t>Menores de idade: representação legal e acesso do responsável (1.2.1 e 1.2.2).</w:t>
      </w:r>
    </w:p>
    <w:p>
      <w:pPr>
        <w:pStyle w:val="ListBullet"/>
        <w:spacing w:after="40"/>
      </w:pPr>
      <w:r>
        <w:t>Aceite eletrônico: base legal e registro (1.10.1).</w:t>
      </w:r>
    </w:p>
    <w:p>
      <w:pPr>
        <w:pStyle w:val="ListBullet"/>
        <w:spacing w:after="40"/>
      </w:pPr>
      <w:r>
        <w:t>LGPD e Marco Civil: 2.10, 4.14.3, 5.2.1 (identificação biométrica) e 7.2.</w:t>
      </w:r>
    </w:p>
    <w:p>
      <w:pPr>
        <w:pStyle w:val="ListBullet"/>
        <w:spacing w:after="40"/>
      </w:pPr>
      <w:r>
        <w:t>Aviso prévio de 15 dias para alterações relevantes (7.5.1).</w:t>
      </w:r>
    </w:p>
    <w:p>
      <w:pPr>
        <w:pStyle w:val="ListBullet"/>
        <w:spacing w:after="40"/>
      </w:pPr>
      <w:r>
        <w:t>Foro do consumidor (7.6).</w:t>
      </w:r>
    </w:p>
    <w:p>
      <w:pPr>
        <w:pStyle w:val="Heading1"/>
      </w:pPr>
      <w:r>
        <w:t>F. Verificações que dependem de acesso ao site</w:t>
      </w:r>
    </w:p>
    <w:p>
      <w:pPr>
        <w:pStyle w:val="ListBullet"/>
        <w:spacing w:after="40"/>
      </w:pPr>
      <w:r>
        <w:t>Se a página /solicitar-reembolso existe e funciona.</w:t>
      </w:r>
    </w:p>
    <w:p>
      <w:pPr>
        <w:pStyle w:val="ListBullet"/>
        <w:spacing w:after="40"/>
      </w:pPr>
      <w:r>
        <w:t>Se o rodapé, o checkout e as páginas de venda ainda divulgam o Sup A (+55 17 99633-5203).</w:t>
      </w:r>
    </w:p>
    <w:p>
      <w:pPr>
        <w:pStyle w:val="ListBullet"/>
        <w:spacing w:after="40"/>
      </w:pPr>
      <w:r>
        <w:t>Se a versão publicada hoje é a mesma do texto vigente usado nesta comparação.</w:t>
      </w:r>
    </w:p>
    <w:p>
      <w:pPr>
        <w:pStyle w:val="Heading1"/>
      </w:pPr>
      <w:r>
        <w:t>Próximos passos sugeridos</w:t>
      </w:r>
    </w:p>
    <w:p>
      <w:pPr>
        <w:pStyle w:val="ListNumber"/>
        <w:spacing w:after="40"/>
      </w:pPr>
      <w:r>
        <w:t>Equipe: preencher o endereço da 1.1 e ajustar B.2 a B.5.</w:t>
      </w:r>
    </w:p>
    <w:p>
      <w:pPr>
        <w:pStyle w:val="ListNumber"/>
        <w:spacing w:after="40"/>
      </w:pPr>
      <w:r>
        <w:t>Dono: decidir C.1 e C.2 e confirmar C.3 e C.4 com o programador.</w:t>
      </w:r>
    </w:p>
    <w:p>
      <w:pPr>
        <w:pStyle w:val="ListNumber"/>
        <w:spacing w:after="40"/>
      </w:pPr>
      <w:r>
        <w:t>Jurídico: validar os blocos D e E.</w:t>
      </w:r>
    </w:p>
    <w:p>
      <w:pPr>
        <w:pStyle w:val="ListNumber"/>
        <w:spacing w:after="40"/>
      </w:pPr>
      <w:r>
        <w:t>Depois da publicação: o Suporte remove do manual as notas sobre a 4.6 (Q16 e Q82) e alinha as Q79 e Q91 ao prazo de estorno definido.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4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