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rPr>
        <w:t>Edge-Enabled Skeletal Movement Analysis for Real-Time Fall Risk Detection and Prediction in Clinical Environments</w:t>
      </w:r>
    </w:p>
    <w:p>
      <w:pPr>
        <w:spacing w:before="0" w:after="40"/>
        <w:jc w:val="center"/>
      </w:pPr>
      <w:r>
        <w:rPr>
          <w:rFonts w:ascii="Times New Roman" w:hAnsi="Times New Roman"/>
          <w:b w:val="0"/>
          <w:i w:val="0"/>
          <w:sz w:val="22"/>
        </w:rPr>
        <w:t>Harishalinee Elangovan</w:t>
      </w:r>
    </w:p>
    <w:p>
      <w:pPr>
        <w:spacing w:before="0" w:after="200"/>
        <w:jc w:val="center"/>
      </w:pPr>
      <w:r>
        <w:rPr>
          <w:rFonts w:ascii="Times New Roman" w:hAnsi="Times New Roman"/>
          <w:b w:val="0"/>
          <w:i/>
          <w:sz w:val="20"/>
        </w:rPr>
        <w:t>Department of Information Technology, Sri Lanka Institute of Information Technology (SLIIT)</w:t>
        <w:br/>
        <w:t>Malabe, Sri Lanka | IT22057488 | harishalineeelangovan@gmail.com</w:t>
      </w:r>
    </w:p>
    <w:p>
      <w:pPr>
        <w:pStyle w:val="Heading2"/>
        <w:jc w:val="center"/>
      </w:pPr>
      <w:r>
        <w:rPr>
          <w:rFonts w:ascii="Times New Roman" w:hAnsi="Times New Roman"/>
          <w:color w:val="000000"/>
        </w:rPr>
        <w:t>Abstract</w:t>
      </w:r>
    </w:p>
    <w:p>
      <w:pPr>
        <w:spacing w:after="160"/>
        <w:jc w:val="both"/>
      </w:pPr>
      <w:r>
        <w:rPr>
          <w:rFonts w:ascii="Times New Roman" w:hAnsi="Times New Roman"/>
          <w:b w:val="0"/>
          <w:i w:val="0"/>
          <w:sz w:val="20"/>
        </w:rPr>
        <w:t xml:space="preserve">The skeletal fall-risk detection module of CareSense presents a dual-stream, edge-deployable architecture that fuses a </w:t>
      </w:r>
      <w:r>
        <w:rPr>
          <w:rFonts w:ascii="Times New Roman" w:hAnsi="Times New Roman"/>
          <w:b w:val="0"/>
          <w:i/>
          <w:sz w:val="20"/>
        </w:rPr>
        <w:t>Spatial-Temporal Graph Convolutional Network (ST-GCN)</w:t>
      </w:r>
      <w:r>
        <w:rPr>
          <w:rFonts w:ascii="Times New Roman" w:hAnsi="Times New Roman"/>
          <w:b w:val="0"/>
          <w:i w:val="0"/>
          <w:sz w:val="20"/>
        </w:rPr>
        <w:t xml:space="preserve"> with an 18-dimensional biomechanical feature classifier through a Late Fusion Network, achieving 98.27% accuracy and 0.70% false alarm rate (FAR) on a combined NTU RGB+D and UR Fall Detection benchmark [1][3], and 97.12% accuracy with 1.28% FAR under subject-disjoint evaluation confirming cross-subject generalisation. A critical finding is that models trained exclusively on public laboratory datasets exhibit severe domain shift when applied to real ward-camera footage—fusion ROC-AUC collapses from 0.984 to 0.410 without domain adaptation [4]; a lightweight webcam fine-tuning pipeline recovers generalisation to ROC-AUC 0.8527 using only 58 in-house clips, and this fine-tuned model constitutes the live deployment version. Inference executes at 5.55 ms per window (180.1 windows/s) on CPU-only edge hardware. A four-layer post-processing stack—EMA smoothing, dwell timer, alert cooldown, and zone-aware risk modulation—reduces operational false alarm rate from 4.41% (raw ST-GCN) to 0.70%, making continuous 24-hour patient monitoring viable on standard ward computing infrastructure without caregiver alert fatigue.</w:t>
      </w:r>
    </w:p>
    <w:p>
      <w:pPr>
        <w:spacing w:after="200"/>
        <w:jc w:val="both"/>
      </w:pPr>
      <w:r>
        <w:rPr>
          <w:rFonts w:ascii="Times New Roman" w:hAnsi="Times New Roman"/>
          <w:b w:val="0"/>
          <w:i/>
          <w:sz w:val="20"/>
        </w:rPr>
        <w:t xml:space="preserve">Keywords — </w:t>
      </w:r>
      <w:r>
        <w:rPr>
          <w:rFonts w:ascii="Times New Roman" w:hAnsi="Times New Roman"/>
          <w:b w:val="0"/>
          <w:i w:val="0"/>
          <w:sz w:val="20"/>
        </w:rPr>
        <w:t>fall detection, skeletal pose estimation, spatial-temporal graph convolutional network, domain shift, late fusion, edge computing, false alarm reduction, hospital patient monitoring.</w:t>
      </w:r>
    </w:p>
    <w:p>
      <w:pPr>
        <w:pStyle w:val="Heading2"/>
        <w:jc w:val="left"/>
      </w:pPr>
      <w:r>
        <w:rPr>
          <w:rFonts w:ascii="Times New Roman" w:hAnsi="Times New Roman"/>
          <w:color w:val="000000"/>
        </w:rPr>
        <w:t>I.  Introduction and Related Work</w:t>
      </w:r>
    </w:p>
    <w:p>
      <w:pPr>
        <w:spacing w:before="0" w:after="80"/>
        <w:ind w:firstLine="280"/>
        <w:jc w:val="both"/>
      </w:pPr>
      <w:r>
        <w:rPr>
          <w:rFonts w:ascii="Times New Roman" w:hAnsi="Times New Roman"/>
          <w:b w:val="0"/>
          <w:i w:val="0"/>
          <w:sz w:val="20"/>
        </w:rPr>
        <w:t>Patient falls in hospital wards represent a leading cause of preventable in-patient injury, with the highest incidence during postural transitions (bed-to-standing, chair-to-standing) and in high-mobility zones [5]. Nurse-observation protocols cannot provide continuous simultaneous monitoring across multiple rooms, leaving windows of unobserved patient activity that account for the majority of unwitnessed falls [6].</w:t>
      </w:r>
    </w:p>
    <w:p>
      <w:pPr>
        <w:spacing w:before="0" w:after="80"/>
        <w:ind w:firstLine="280"/>
        <w:jc w:val="both"/>
      </w:pPr>
      <w:r>
        <w:rPr>
          <w:rFonts w:ascii="Times New Roman" w:hAnsi="Times New Roman"/>
          <w:b w:val="0"/>
          <w:i w:val="0"/>
          <w:sz w:val="20"/>
        </w:rPr>
        <w:t>Early fall detection relied on threshold-based accelerometer or pressure-mat rules [7], achieving high sensitivity in controlled settings but failing in real hospital conditions where sensor placement varies. Vision-based approaches using RGB-D cameras improved robustness; Kwolek and Kepski [8] demonstrated that skeleton-based features outperform raw pixel methods, though their system required depth sensors absent from standard ward installations. The introduction of Graph Convolutional Networks (GCN) for skeleton action recognition by Yan et al. [2] enabled spatial modelling of joint co-dependencies; subsequent work applied this paradigm to fall detection on NTU RGB+D [1] and UR Fall Detection [3] datasets, reporting clip-level accuracies above 95% under random test splits.</w:t>
      </w:r>
    </w:p>
    <w:p>
      <w:pPr>
        <w:spacing w:before="0" w:after="160"/>
        <w:ind w:firstLine="280"/>
        <w:jc w:val="both"/>
      </w:pPr>
      <w:r>
        <w:rPr>
          <w:rFonts w:ascii="Times New Roman" w:hAnsi="Times New Roman"/>
          <w:b w:val="0"/>
          <w:i w:val="0"/>
          <w:sz w:val="20"/>
        </w:rPr>
        <w:t>Three gaps persist in existing literature that this component addresses directly. First, no prior study has explicitly measured the performance degradation (domain shift) when a laboratory-trained model is applied, without adaptation, to real ward-camera footage — the assumption of zero shift is universally implicit but unvalidated [4][9]. Second, context-aware risk modulation incorporating the patient's spatial location (bed zone, chair zone, walking zone) has not been integrated into any skeleton-based detection pipeline; existing systems assign identical risk weight to a patient walking in a corridor as to a patient sitting on a bed edge, despite the latter carrying significantly higher mechanical fall risk [10]. Third, false-alarm reduction via multi-layer temporal post-processing has not been rigorously quantified in terms of operational alert volume for continuous monitoring scenarios [11]. This component addresses all three gaps.</w:t>
      </w:r>
    </w:p>
    <w:p>
      <w:pPr>
        <w:pStyle w:val="Heading2"/>
        <w:jc w:val="left"/>
      </w:pPr>
      <w:r>
        <w:rPr>
          <w:rFonts w:ascii="Times New Roman" w:hAnsi="Times New Roman"/>
          <w:color w:val="000000"/>
        </w:rPr>
        <w:t>II.  Methodology</w:t>
      </w:r>
    </w:p>
    <w:p>
      <w:pPr>
        <w:pStyle w:val="Heading3"/>
        <w:jc w:val="left"/>
      </w:pPr>
      <w:r>
        <w:rPr>
          <w:rFonts w:ascii="Times New Roman" w:hAnsi="Times New Roman"/>
          <w:color w:val="000000"/>
        </w:rPr>
        <w:t>A.  Problem Statement</w:t>
      </w:r>
    </w:p>
    <w:p>
      <w:pPr>
        <w:spacing w:before="0" w:after="120"/>
        <w:ind w:firstLine="280"/>
        <w:jc w:val="both"/>
      </w:pPr>
      <w:r>
        <w:rPr>
          <w:rFonts w:ascii="Times New Roman" w:hAnsi="Times New Roman"/>
          <w:b w:val="0"/>
          <w:i w:val="0"/>
          <w:sz w:val="20"/>
        </w:rPr>
        <w:t>This component develops an automated, camera-based fall risk detection module that operates continuously on edge hardware using only standard RGB webcams already present in ward installations—requiring no wearable devices or depth sensors—and delivers real-time risk scores to the CareSense caregiver dashboard, enabling a single caregiver to monitor multiple patients simultaneously without alert fatigue.</w:t>
      </w:r>
    </w:p>
    <w:p>
      <w:pPr>
        <w:pStyle w:val="Heading3"/>
        <w:jc w:val="left"/>
      </w:pPr>
      <w:r>
        <w:rPr>
          <w:rFonts w:ascii="Times New Roman" w:hAnsi="Times New Roman"/>
          <w:color w:val="000000"/>
        </w:rPr>
        <w:t>B.  Datasets and Sources</w:t>
      </w:r>
    </w:p>
    <w:p>
      <w:pPr>
        <w:spacing w:after="80"/>
        <w:ind w:firstLine="280"/>
        <w:jc w:val="both"/>
      </w:pPr>
      <w:r>
        <w:rPr>
          <w:rFonts w:ascii="Times New Roman" w:hAnsi="Times New Roman"/>
          <w:b/>
          <w:i w:val="0"/>
          <w:sz w:val="20"/>
        </w:rPr>
        <w:t xml:space="preserve">1) NTU RGB+D Action Recognition Dataset [1]: </w:t>
      </w:r>
      <w:r>
        <w:rPr>
          <w:rFonts w:ascii="Times New Roman" w:hAnsi="Times New Roman"/>
          <w:b w:val="0"/>
          <w:i w:val="0"/>
          <w:sz w:val="20"/>
        </w:rPr>
        <w:t>NTU RGB+D [1] contains 56,880 video samples spanning 60 action classes performed by 40 distinct subjects across three synchronised camera views. Four fall-relevant action classes were selected: falling (A043), standing up from a chair (A008), sitting down (A009), and walking (A027—hard-negative class). MediaPipe Pose [12] was applied to the RGB frames rather than the bundled Kinect skeleton, ensuring that the pose extraction modality at training time matches the modality at inference time (RGB webcam, not depth camera)—a representational mismatch overlooked in prior NTU-based studies.</w:t>
      </w:r>
    </w:p>
    <w:p>
      <w:pPr>
        <w:spacing w:after="80"/>
        <w:ind w:firstLine="280"/>
        <w:jc w:val="both"/>
      </w:pPr>
      <w:r>
        <w:rPr>
          <w:rFonts w:ascii="Times New Roman" w:hAnsi="Times New Roman"/>
          <w:b/>
          <w:i w:val="0"/>
          <w:sz w:val="20"/>
        </w:rPr>
        <w:t xml:space="preserve">2) UR Fall Detection Dataset [3]: </w:t>
      </w:r>
      <w:r>
        <w:rPr>
          <w:rFonts w:ascii="Times New Roman" w:hAnsi="Times New Roman"/>
          <w:b w:val="0"/>
          <w:i w:val="0"/>
          <w:sz w:val="20"/>
        </w:rPr>
        <w:t>The UR Fall Detection dataset [3] provides 70 fall sequences (forward, backward, lateral) and 40 Activities of Daily Living (ADL) sequences at 25 FPS. Only the RGB channel was used to maintain sensor-modality consistency with NTU processing. This dataset contributes controlled short-duration fall trajectories that complement NTU RGB+D's longer multi-phase action sequences.</w:t>
      </w:r>
    </w:p>
    <w:p>
      <w:pPr>
        <w:spacing w:after="80"/>
        <w:ind w:firstLine="280"/>
        <w:jc w:val="both"/>
      </w:pPr>
      <w:r>
        <w:rPr>
          <w:rFonts w:ascii="Times New Roman" w:hAnsi="Times New Roman"/>
          <w:b/>
          <w:i w:val="0"/>
          <w:sz w:val="20"/>
        </w:rPr>
        <w:t xml:space="preserve">3) In-house Webcam Dataset (External Validation): </w:t>
      </w:r>
      <w:r>
        <w:rPr>
          <w:rFonts w:ascii="Times New Roman" w:hAnsi="Times New Roman"/>
          <w:b w:val="0"/>
          <w:i w:val="0"/>
          <w:sz w:val="20"/>
        </w:rPr>
        <w:t>An in-house dataset was recorded using a standard USB webcam (1280×720, 30 FPS) in a simulated ward environment. Six structured fall scenarios were captured: forward fall from standing, backward fall from standing, lateral fall from standing, fall from chair, roll from bed edge, and standing-up transition fall. Informed consent was obtained from all participants. This dataset was used exclusively as an external test set—not in any training or hyperparameter selection step—and results are reported separately to distinguish them from the public-dataset benchmark results [13].</w:t>
      </w:r>
    </w:p>
    <w:p>
      <w:pPr>
        <w:spacing w:after="120"/>
        <w:ind w:firstLine="280"/>
        <w:jc w:val="both"/>
      </w:pPr>
      <w:r>
        <w:rPr>
          <w:rFonts w:ascii="Times New Roman" w:hAnsi="Times New Roman"/>
          <w:b/>
          <w:i w:val="0"/>
          <w:sz w:val="20"/>
        </w:rPr>
        <w:t xml:space="preserve">Dataset Characteristics: </w:t>
      </w:r>
      <w:r>
        <w:rPr>
          <w:rFonts w:ascii="Times New Roman" w:hAnsi="Times New Roman"/>
          <w:b w:val="0"/>
          <w:i w:val="0"/>
          <w:sz w:val="20"/>
        </w:rPr>
        <w:t>The combined NTU+UR training corpus contained 578 labelled clips after quality filtering (431 NORMAL, 147 FALL), yielding a 2.93:1 class imbalance addressed through inverse-frequency weighted cross-entropy loss. Each clip was standardised to exactly T = 90 frames at 30 FPS (3 seconds), with shorter clips linearly interpolated and longer clips uniformly subsampled. Skeleton tensors have shape (T=90, V=14, C=4). Splits were performed at the subject level—a subject whose clips appear in training never appears in validation or test, preventing identity leakage. Two protocols are reported: random 80/10/10 split (best-case) and subject-disjoint split (realistic deployment). The in-house webcam test set comprised 58 clips (43 NORMAL, 15 FALL).</w:t>
      </w:r>
    </w:p>
    <w:p>
      <w:pPr>
        <w:pStyle w:val="Heading3"/>
        <w:jc w:val="left"/>
      </w:pPr>
      <w:r>
        <w:rPr>
          <w:rFonts w:ascii="Times New Roman" w:hAnsi="Times New Roman"/>
          <w:color w:val="000000"/>
        </w:rPr>
        <w:t>C.  Preprocessing Pipeline</w:t>
      </w:r>
    </w:p>
    <w:p>
      <w:pPr>
        <w:spacing w:before="0" w:after="80"/>
        <w:ind w:firstLine="280"/>
        <w:jc w:val="both"/>
      </w:pPr>
      <w:r>
        <w:rPr>
          <w:rFonts w:ascii="Times New Roman" w:hAnsi="Times New Roman"/>
          <w:b w:val="0"/>
          <w:i w:val="0"/>
          <w:sz w:val="20"/>
        </w:rPr>
        <w:t>Raw video frames undergo a six-stage preprocessing pipeline designed with three hard constraints: (i) all operations must run in real time at 30 FPS on CPU; (ii) the output representation must be invariant to patient-camera distance; (iii) the training-time and inference-time pipelines must be identical in stage order and parameters.</w:t>
      </w:r>
    </w:p>
    <w:p>
      <w:pPr>
        <w:spacing w:after="80"/>
        <w:ind w:firstLine="280"/>
        <w:jc w:val="both"/>
      </w:pPr>
      <w:r>
        <w:rPr>
          <w:rFonts w:ascii="Times New Roman" w:hAnsi="Times New Roman"/>
          <w:b/>
          <w:i w:val="0"/>
          <w:sz w:val="20"/>
        </w:rPr>
        <w:t xml:space="preserve">Stage 1 — Pose Estimation. </w:t>
      </w:r>
      <w:r>
        <w:rPr>
          <w:rFonts w:ascii="Times New Roman" w:hAnsi="Times New Roman"/>
          <w:b w:val="0"/>
          <w:i w:val="0"/>
          <w:sz w:val="20"/>
        </w:rPr>
        <w:t>MediaPipe Pose [12] is applied frame-by-frame, producing 33 body landmarks with normalised (x, y, z) coordinates and per-landmark visibility scores in [0, 1]. MediaPipe was selected over OpenPose [14] and AlphaPose [15] because it achieves real-time CPU throughput (&gt;30 FPS) without GPU acceleration—a hard constraint for edge deployment on ward hardware.</w:t>
      </w:r>
    </w:p>
    <w:p>
      <w:pPr>
        <w:spacing w:after="80"/>
        <w:ind w:firstLine="280"/>
        <w:jc w:val="both"/>
      </w:pPr>
      <w:r>
        <w:rPr>
          <w:rFonts w:ascii="Times New Roman" w:hAnsi="Times New Roman"/>
          <w:b/>
          <w:i w:val="0"/>
          <w:sz w:val="20"/>
        </w:rPr>
        <w:t xml:space="preserve">Stage 2 — Joint Reduction (33 → 14 joints). </w:t>
      </w:r>
      <w:r>
        <w:rPr>
          <w:rFonts w:ascii="Times New Roman" w:hAnsi="Times New Roman"/>
          <w:b w:val="0"/>
          <w:i w:val="0"/>
          <w:sz w:val="20"/>
        </w:rPr>
        <w:t>The 33 MediaPipe landmarks are mapped to 14 semantically meaningful joints. The neck joint (index 1) does not exist natively in MediaPipe and is synthesised as the geometric midpoint of left and right shoulder landmarks. This synthesis is architecturally necessary because the neck serves as the root node of the ST-GCN graph; an absent root would disconnect the upper-body and lower-body subgraphs during graph convolution.</w:t>
      </w:r>
    </w:p>
    <w:p>
      <w:pPr>
        <w:spacing w:after="80"/>
        <w:ind w:firstLine="280"/>
        <w:jc w:val="both"/>
      </w:pPr>
      <w:r>
        <w:rPr>
          <w:rFonts w:ascii="Times New Roman" w:hAnsi="Times New Roman"/>
          <w:b/>
          <w:i w:val="0"/>
          <w:sz w:val="20"/>
        </w:rPr>
        <w:t xml:space="preserve">Stage 3 — Visibility Filtering. </w:t>
      </w:r>
      <w:r>
        <w:rPr>
          <w:rFonts w:ascii="Times New Roman" w:hAnsi="Times New Roman"/>
          <w:b w:val="0"/>
          <w:i w:val="0"/>
          <w:sz w:val="20"/>
        </w:rPr>
        <w:t>Joints with visibility below τ_vis = 0.4 are treated as unreliable and replaced by linear interpolation from adjacent valid frames. Frames where fewer than 50% of joints exceed τ_vis are excluded from the temporal buffer.</w:t>
      </w:r>
    </w:p>
    <w:p>
      <w:pPr>
        <w:spacing w:after="80"/>
        <w:ind w:firstLine="280"/>
        <w:jc w:val="both"/>
      </w:pPr>
      <w:r>
        <w:rPr>
          <w:rFonts w:ascii="Times New Roman" w:hAnsi="Times New Roman"/>
          <w:b/>
          <w:i w:val="0"/>
          <w:sz w:val="20"/>
        </w:rPr>
        <w:t xml:space="preserve">Stage 4 — Hip-Centred Torso-Scale Normalisation. </w:t>
      </w:r>
      <w:r>
        <w:rPr>
          <w:rFonts w:ascii="Times New Roman" w:hAnsi="Times New Roman"/>
          <w:b w:val="0"/>
          <w:i w:val="0"/>
          <w:sz w:val="20"/>
        </w:rPr>
        <w:t>Translation normalisation centres the skeleton at the mid-hip point. Scale normalisation divides all coordinates by the torso length (neck-to-mid-hip Euclidean distance), making the representation invariant to patient-camera distance [16].</w:t>
      </w:r>
    </w:p>
    <w:p>
      <w:pPr>
        <w:spacing w:after="80"/>
        <w:ind w:firstLine="280"/>
        <w:jc w:val="both"/>
      </w:pPr>
      <w:r>
        <w:rPr>
          <w:rFonts w:ascii="Times New Roman" w:hAnsi="Times New Roman"/>
          <w:b/>
          <w:i w:val="0"/>
          <w:sz w:val="20"/>
        </w:rPr>
        <w:t xml:space="preserve">Stage 5 — Temporal Windowing. </w:t>
      </w:r>
      <w:r>
        <w:rPr>
          <w:rFonts w:ascii="Times New Roman" w:hAnsi="Times New Roman"/>
          <w:b w:val="0"/>
          <w:i w:val="0"/>
          <w:sz w:val="20"/>
        </w:rPr>
        <w:t>Skeleton frames are accumulated in a sliding ring buffer of fixed length T = 90 frames. Inference is triggered every 3 frames (INFER_EVERY_N = 3), yielding 10 inference windows per second at 30 FPS.</w:t>
      </w:r>
    </w:p>
    <w:p>
      <w:pPr>
        <w:spacing w:after="80"/>
        <w:ind w:firstLine="280"/>
        <w:jc w:val="both"/>
      </w:pPr>
      <w:r>
        <w:rPr>
          <w:rFonts w:ascii="Times New Roman" w:hAnsi="Times New Roman"/>
          <w:b/>
          <w:i w:val="0"/>
          <w:sz w:val="20"/>
        </w:rPr>
        <w:t xml:space="preserve">Stage 6 — Feature Scaler Application. </w:t>
      </w:r>
      <w:r>
        <w:rPr>
          <w:rFonts w:ascii="Times New Roman" w:hAnsi="Times New Roman"/>
          <w:b w:val="0"/>
          <w:i w:val="0"/>
          <w:sz w:val="20"/>
        </w:rPr>
        <w:t>A StandardScaler fitted on the training split is applied to the 18-dimensional biomechanical feature vector at inference time. The scaler is suffix-specific (general vs. webcam-fine-tuned model) to account for distributional differences between NTU+UR and in-house feature statistics.</w:t>
      </w:r>
    </w:p>
    <w:p>
      <w:pPr>
        <w:pStyle w:val="Heading3"/>
        <w:jc w:val="left"/>
      </w:pPr>
      <w:r>
        <w:rPr>
          <w:rFonts w:ascii="Times New Roman" w:hAnsi="Times New Roman"/>
          <w:color w:val="000000"/>
        </w:rPr>
        <w:t>D.  Feature Extraction and Representation</w:t>
      </w:r>
    </w:p>
    <w:p>
      <w:pPr>
        <w:spacing w:before="0" w:after="80"/>
        <w:ind w:firstLine="280"/>
        <w:jc w:val="both"/>
      </w:pPr>
      <w:r>
        <w:rPr>
          <w:rFonts w:ascii="Times New Roman" w:hAnsi="Times New Roman"/>
          <w:b w:val="0"/>
          <w:i w:val="0"/>
          <w:sz w:val="20"/>
        </w:rPr>
        <w:t>Eighteen biomechanical features are extracted per 90-frame window to provide interpretable, physics-grounded motion signals that complement the ST-GCN's latent representation. Table I defines all 18 features with their extraction logic and clinical rationale.</w:t>
      </w:r>
    </w:p>
    <w:p>
      <w:pPr>
        <w:spacing w:before="120" w:after="80"/>
        <w:jc w:val="center"/>
      </w:pPr>
      <w:r>
        <w:rPr>
          <w:rFonts w:ascii="Times New Roman" w:hAnsi="Times New Roman"/>
          <w:b/>
          <w:sz w:val="18"/>
        </w:rPr>
        <w:t>TABLE I — 18 BIOMECHANICAL FEATURES — EXTRACTION LOGIC AND CLINICAL RATIONALE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jc w:val="center"/>
            </w:pPr>
            <w:r>
              <w:rPr>
                <w:rFonts w:ascii="Times New Roman" w:hAnsi="Times New Roman"/>
                <w:b/>
                <w:sz w:val="16"/>
              </w:rPr>
              <w:t>#</w:t>
            </w:r>
          </w:p>
        </w:tc>
        <w:tc>
          <w:tcPr>
            <w:tcW w:type="dxa" w:w="2520"/>
            <w:vAlign w:val="center"/>
          </w:tcPr>
          <w:p>
            <w:pPr>
              <w:jc w:val="center"/>
            </w:pPr>
            <w:r>
              <w:rPr>
                <w:rFonts w:ascii="Times New Roman" w:hAnsi="Times New Roman"/>
                <w:b/>
                <w:sz w:val="16"/>
              </w:rPr>
              <w:t>Feature Name</w:t>
            </w:r>
          </w:p>
        </w:tc>
        <w:tc>
          <w:tcPr>
            <w:tcW w:type="dxa" w:w="2520"/>
            <w:vAlign w:val="center"/>
          </w:tcPr>
          <w:p>
            <w:pPr>
              <w:jc w:val="center"/>
            </w:pPr>
            <w:r>
              <w:rPr>
                <w:rFonts w:ascii="Times New Roman" w:hAnsi="Times New Roman"/>
                <w:b/>
                <w:sz w:val="16"/>
              </w:rPr>
              <w:t>Extraction</w:t>
            </w:r>
          </w:p>
        </w:tc>
        <w:tc>
          <w:tcPr>
            <w:tcW w:type="dxa" w:w="2520"/>
            <w:vAlign w:val="center"/>
          </w:tcPr>
          <w:p>
            <w:pPr>
              <w:jc w:val="center"/>
            </w:pPr>
            <w:r>
              <w:rPr>
                <w:rFonts w:ascii="Times New Roman" w:hAnsi="Times New Roman"/>
                <w:b/>
                <w:sz w:val="16"/>
              </w:rPr>
              <w:t>Clinical Rationale</w:t>
            </w:r>
          </w:p>
        </w:tc>
      </w:tr>
      <w:tr>
        <w:tc>
          <w:tcPr>
            <w:tcW w:type="dxa" w:w="2520"/>
          </w:tcPr>
          <w:p>
            <w:pPr>
              <w:jc w:val="center"/>
            </w:pPr>
            <w:r>
              <w:rPr>
                <w:rFonts w:ascii="Times New Roman" w:hAnsi="Times New Roman"/>
                <w:sz w:val="16"/>
              </w:rPr>
              <w:t>F1</w:t>
            </w:r>
          </w:p>
        </w:tc>
        <w:tc>
          <w:tcPr>
            <w:tcW w:type="dxa" w:w="2520"/>
          </w:tcPr>
          <w:p>
            <w:pPr>
              <w:jc w:val="center"/>
            </w:pPr>
            <w:r>
              <w:rPr>
                <w:rFonts w:ascii="Times New Roman" w:hAnsi="Times New Roman"/>
                <w:sz w:val="16"/>
              </w:rPr>
              <w:t>mean_vy_hip</w:t>
            </w:r>
          </w:p>
        </w:tc>
        <w:tc>
          <w:tcPr>
            <w:tcW w:type="dxa" w:w="2520"/>
          </w:tcPr>
          <w:p>
            <w:pPr>
              <w:jc w:val="center"/>
            </w:pPr>
            <w:r>
              <w:rPr>
                <w:rFonts w:ascii="Times New Roman" w:hAnsi="Times New Roman"/>
                <w:sz w:val="16"/>
              </w:rPr>
              <w:t>Mean vertical displacement of mid-hip per frame</w:t>
            </w:r>
          </w:p>
        </w:tc>
        <w:tc>
          <w:tcPr>
            <w:tcW w:type="dxa" w:w="2520"/>
          </w:tcPr>
          <w:p>
            <w:pPr>
              <w:jc w:val="center"/>
            </w:pPr>
            <w:r>
              <w:rPr>
                <w:rFonts w:ascii="Times New Roman" w:hAnsi="Times New Roman"/>
                <w:sz w:val="16"/>
              </w:rPr>
              <w:t>Primary kinematic signal of rapid downward translation</w:t>
            </w:r>
          </w:p>
        </w:tc>
      </w:tr>
      <w:tr>
        <w:tc>
          <w:tcPr>
            <w:tcW w:type="dxa" w:w="2520"/>
          </w:tcPr>
          <w:p>
            <w:pPr>
              <w:jc w:val="center"/>
            </w:pPr>
            <w:r>
              <w:rPr>
                <w:rFonts w:ascii="Times New Roman" w:hAnsi="Times New Roman"/>
                <w:sz w:val="16"/>
              </w:rPr>
              <w:t>F2</w:t>
            </w:r>
          </w:p>
        </w:tc>
        <w:tc>
          <w:tcPr>
            <w:tcW w:type="dxa" w:w="2520"/>
          </w:tcPr>
          <w:p>
            <w:pPr>
              <w:jc w:val="center"/>
            </w:pPr>
            <w:r>
              <w:rPr>
                <w:rFonts w:ascii="Times New Roman" w:hAnsi="Times New Roman"/>
                <w:sz w:val="16"/>
              </w:rPr>
              <w:t>max_vy_hip</w:t>
            </w:r>
          </w:p>
        </w:tc>
        <w:tc>
          <w:tcPr>
            <w:tcW w:type="dxa" w:w="2520"/>
          </w:tcPr>
          <w:p>
            <w:pPr>
              <w:jc w:val="center"/>
            </w:pPr>
            <w:r>
              <w:rPr>
                <w:rFonts w:ascii="Times New Roman" w:hAnsi="Times New Roman"/>
                <w:sz w:val="16"/>
              </w:rPr>
              <w:t>Maximum single-frame vertical drop velocity of mid-hip</w:t>
            </w:r>
          </w:p>
        </w:tc>
        <w:tc>
          <w:tcPr>
            <w:tcW w:type="dxa" w:w="2520"/>
          </w:tcPr>
          <w:p>
            <w:pPr>
              <w:jc w:val="center"/>
            </w:pPr>
            <w:r>
              <w:rPr>
                <w:rFonts w:ascii="Times New Roman" w:hAnsi="Times New Roman"/>
                <w:sz w:val="16"/>
              </w:rPr>
              <w:t>Captures instantaneous impact-phase velocity spike</w:t>
            </w:r>
          </w:p>
        </w:tc>
      </w:tr>
      <w:tr>
        <w:tc>
          <w:tcPr>
            <w:tcW w:type="dxa" w:w="2520"/>
          </w:tcPr>
          <w:p>
            <w:pPr>
              <w:jc w:val="center"/>
            </w:pPr>
            <w:r>
              <w:rPr>
                <w:rFonts w:ascii="Times New Roman" w:hAnsi="Times New Roman"/>
                <w:sz w:val="16"/>
              </w:rPr>
              <w:t>F3</w:t>
            </w:r>
          </w:p>
        </w:tc>
        <w:tc>
          <w:tcPr>
            <w:tcW w:type="dxa" w:w="2520"/>
          </w:tcPr>
          <w:p>
            <w:pPr>
              <w:jc w:val="center"/>
            </w:pPr>
            <w:r>
              <w:rPr>
                <w:rFonts w:ascii="Times New Roman" w:hAnsi="Times New Roman"/>
                <w:sz w:val="16"/>
              </w:rPr>
              <w:t>mean_vx_hip</w:t>
            </w:r>
          </w:p>
        </w:tc>
        <w:tc>
          <w:tcPr>
            <w:tcW w:type="dxa" w:w="2520"/>
          </w:tcPr>
          <w:p>
            <w:pPr>
              <w:jc w:val="center"/>
            </w:pPr>
            <w:r>
              <w:rPr>
                <w:rFonts w:ascii="Times New Roman" w:hAnsi="Times New Roman"/>
                <w:sz w:val="16"/>
              </w:rPr>
              <w:t>Mean horizontal velocity of mid-hip</w:t>
            </w:r>
          </w:p>
        </w:tc>
        <w:tc>
          <w:tcPr>
            <w:tcW w:type="dxa" w:w="2520"/>
          </w:tcPr>
          <w:p>
            <w:pPr>
              <w:jc w:val="center"/>
            </w:pPr>
            <w:r>
              <w:rPr>
                <w:rFonts w:ascii="Times New Roman" w:hAnsi="Times New Roman"/>
                <w:sz w:val="16"/>
              </w:rPr>
              <w:t>Lateral drift preceding sideways falls or trips</w:t>
            </w:r>
          </w:p>
        </w:tc>
      </w:tr>
      <w:tr>
        <w:tc>
          <w:tcPr>
            <w:tcW w:type="dxa" w:w="2520"/>
          </w:tcPr>
          <w:p>
            <w:pPr>
              <w:jc w:val="center"/>
            </w:pPr>
            <w:r>
              <w:rPr>
                <w:rFonts w:ascii="Times New Roman" w:hAnsi="Times New Roman"/>
                <w:sz w:val="16"/>
              </w:rPr>
              <w:t>F4</w:t>
            </w:r>
          </w:p>
        </w:tc>
        <w:tc>
          <w:tcPr>
            <w:tcW w:type="dxa" w:w="2520"/>
          </w:tcPr>
          <w:p>
            <w:pPr>
              <w:jc w:val="center"/>
            </w:pPr>
            <w:r>
              <w:rPr>
                <w:rFonts w:ascii="Times New Roman" w:hAnsi="Times New Roman"/>
                <w:sz w:val="16"/>
              </w:rPr>
              <w:t>mean_vy_head</w:t>
            </w:r>
          </w:p>
        </w:tc>
        <w:tc>
          <w:tcPr>
            <w:tcW w:type="dxa" w:w="2520"/>
          </w:tcPr>
          <w:p>
            <w:pPr>
              <w:jc w:val="center"/>
            </w:pPr>
            <w:r>
              <w:rPr>
                <w:rFonts w:ascii="Times New Roman" w:hAnsi="Times New Roman"/>
                <w:sz w:val="16"/>
              </w:rPr>
              <w:t>Mean vertical drop rate of nose joint</w:t>
            </w:r>
          </w:p>
        </w:tc>
        <w:tc>
          <w:tcPr>
            <w:tcW w:type="dxa" w:w="2520"/>
          </w:tcPr>
          <w:p>
            <w:pPr>
              <w:jc w:val="center"/>
            </w:pPr>
            <w:r>
              <w:rPr>
                <w:rFonts w:ascii="Times New Roman" w:hAnsi="Times New Roman"/>
                <w:sz w:val="16"/>
              </w:rPr>
              <w:t>Head drop — earliest kinematic precursor of fall onset [17]</w:t>
            </w:r>
          </w:p>
        </w:tc>
      </w:tr>
      <w:tr>
        <w:tc>
          <w:tcPr>
            <w:tcW w:type="dxa" w:w="2520"/>
          </w:tcPr>
          <w:p>
            <w:pPr>
              <w:jc w:val="center"/>
            </w:pPr>
            <w:r>
              <w:rPr>
                <w:rFonts w:ascii="Times New Roman" w:hAnsi="Times New Roman"/>
                <w:sz w:val="16"/>
              </w:rPr>
              <w:t>F5</w:t>
            </w:r>
          </w:p>
        </w:tc>
        <w:tc>
          <w:tcPr>
            <w:tcW w:type="dxa" w:w="2520"/>
          </w:tcPr>
          <w:p>
            <w:pPr>
              <w:jc w:val="center"/>
            </w:pPr>
            <w:r>
              <w:rPr>
                <w:rFonts w:ascii="Times New Roman" w:hAnsi="Times New Roman"/>
                <w:sz w:val="16"/>
              </w:rPr>
              <w:t>max_ay_hip</w:t>
            </w:r>
          </w:p>
        </w:tc>
        <w:tc>
          <w:tcPr>
            <w:tcW w:type="dxa" w:w="2520"/>
          </w:tcPr>
          <w:p>
            <w:pPr>
              <w:jc w:val="center"/>
            </w:pPr>
            <w:r>
              <w:rPr>
                <w:rFonts w:ascii="Times New Roman" w:hAnsi="Times New Roman"/>
                <w:sz w:val="16"/>
              </w:rPr>
              <w:t>Peak vertical acceleration of mid-hip</w:t>
            </w:r>
          </w:p>
        </w:tc>
        <w:tc>
          <w:tcPr>
            <w:tcW w:type="dxa" w:w="2520"/>
          </w:tcPr>
          <w:p>
            <w:pPr>
              <w:jc w:val="center"/>
            </w:pPr>
            <w:r>
              <w:rPr>
                <w:rFonts w:ascii="Times New Roman" w:hAnsi="Times New Roman"/>
                <w:sz w:val="16"/>
              </w:rPr>
              <w:t>Discriminates controlled sit-down from uncontrolled fall</w:t>
            </w:r>
          </w:p>
        </w:tc>
      </w:tr>
      <w:tr>
        <w:tc>
          <w:tcPr>
            <w:tcW w:type="dxa" w:w="2520"/>
          </w:tcPr>
          <w:p>
            <w:pPr>
              <w:jc w:val="center"/>
            </w:pPr>
            <w:r>
              <w:rPr>
                <w:rFonts w:ascii="Times New Roman" w:hAnsi="Times New Roman"/>
                <w:sz w:val="16"/>
              </w:rPr>
              <w:t>F6</w:t>
            </w:r>
          </w:p>
        </w:tc>
        <w:tc>
          <w:tcPr>
            <w:tcW w:type="dxa" w:w="2520"/>
          </w:tcPr>
          <w:p>
            <w:pPr>
              <w:jc w:val="center"/>
            </w:pPr>
            <w:r>
              <w:rPr>
                <w:rFonts w:ascii="Times New Roman" w:hAnsi="Times New Roman"/>
                <w:sz w:val="16"/>
              </w:rPr>
              <w:t>kinetic_proxy</w:t>
            </w:r>
          </w:p>
        </w:tc>
        <w:tc>
          <w:tcPr>
            <w:tcW w:type="dxa" w:w="2520"/>
          </w:tcPr>
          <w:p>
            <w:pPr>
              <w:jc w:val="center"/>
            </w:pPr>
            <w:r>
              <w:rPr>
                <w:rFonts w:ascii="Times New Roman" w:hAnsi="Times New Roman"/>
                <w:sz w:val="16"/>
              </w:rPr>
              <w:t>Sum of squared joint velocities / torso length</w:t>
            </w:r>
          </w:p>
        </w:tc>
        <w:tc>
          <w:tcPr>
            <w:tcW w:type="dxa" w:w="2520"/>
          </w:tcPr>
          <w:p>
            <w:pPr>
              <w:jc w:val="center"/>
            </w:pPr>
            <w:r>
              <w:rPr>
                <w:rFonts w:ascii="Times New Roman" w:hAnsi="Times New Roman"/>
                <w:sz w:val="16"/>
              </w:rPr>
              <w:t>Proxy for total kinetic energy during uncontrolled motion</w:t>
            </w:r>
          </w:p>
        </w:tc>
      </w:tr>
      <w:tr>
        <w:tc>
          <w:tcPr>
            <w:tcW w:type="dxa" w:w="2520"/>
          </w:tcPr>
          <w:p>
            <w:pPr>
              <w:jc w:val="center"/>
            </w:pPr>
            <w:r>
              <w:rPr>
                <w:rFonts w:ascii="Times New Roman" w:hAnsi="Times New Roman"/>
                <w:sz w:val="16"/>
              </w:rPr>
              <w:t>F7</w:t>
            </w:r>
          </w:p>
        </w:tc>
        <w:tc>
          <w:tcPr>
            <w:tcW w:type="dxa" w:w="2520"/>
          </w:tcPr>
          <w:p>
            <w:pPr>
              <w:jc w:val="center"/>
            </w:pPr>
            <w:r>
              <w:rPr>
                <w:rFonts w:ascii="Times New Roman" w:hAnsi="Times New Roman"/>
                <w:sz w:val="16"/>
              </w:rPr>
              <w:t>max_kinetic_spike</w:t>
            </w:r>
          </w:p>
        </w:tc>
        <w:tc>
          <w:tcPr>
            <w:tcW w:type="dxa" w:w="2520"/>
          </w:tcPr>
          <w:p>
            <w:pPr>
              <w:jc w:val="center"/>
            </w:pPr>
            <w:r>
              <w:rPr>
                <w:rFonts w:ascii="Times New Roman" w:hAnsi="Times New Roman"/>
                <w:sz w:val="16"/>
              </w:rPr>
              <w:t>Maximum single-frame kinetic proxy value</w:t>
            </w:r>
          </w:p>
        </w:tc>
        <w:tc>
          <w:tcPr>
            <w:tcW w:type="dxa" w:w="2520"/>
          </w:tcPr>
          <w:p>
            <w:pPr>
              <w:jc w:val="center"/>
            </w:pPr>
            <w:r>
              <w:rPr>
                <w:rFonts w:ascii="Times New Roman" w:hAnsi="Times New Roman"/>
                <w:sz w:val="16"/>
              </w:rPr>
              <w:t>Captures energy spikes at impact not visible in mean</w:t>
            </w:r>
          </w:p>
        </w:tc>
      </w:tr>
      <w:tr>
        <w:tc>
          <w:tcPr>
            <w:tcW w:type="dxa" w:w="2520"/>
          </w:tcPr>
          <w:p>
            <w:pPr>
              <w:jc w:val="center"/>
            </w:pPr>
            <w:r>
              <w:rPr>
                <w:rFonts w:ascii="Times New Roman" w:hAnsi="Times New Roman"/>
                <w:sz w:val="16"/>
              </w:rPr>
              <w:t>F8</w:t>
            </w:r>
          </w:p>
        </w:tc>
        <w:tc>
          <w:tcPr>
            <w:tcW w:type="dxa" w:w="2520"/>
          </w:tcPr>
          <w:p>
            <w:pPr>
              <w:jc w:val="center"/>
            </w:pPr>
            <w:r>
              <w:rPr>
                <w:rFonts w:ascii="Times New Roman" w:hAnsi="Times New Roman"/>
                <w:sz w:val="16"/>
              </w:rPr>
              <w:t>mean_torso_angle</w:t>
            </w:r>
          </w:p>
        </w:tc>
        <w:tc>
          <w:tcPr>
            <w:tcW w:type="dxa" w:w="2520"/>
          </w:tcPr>
          <w:p>
            <w:pPr>
              <w:jc w:val="center"/>
            </w:pPr>
            <w:r>
              <w:rPr>
                <w:rFonts w:ascii="Times New Roman" w:hAnsi="Times New Roman"/>
                <w:sz w:val="16"/>
              </w:rPr>
              <w:t>Mean sagittal inclination of torso vector (degrees)</w:t>
            </w:r>
          </w:p>
        </w:tc>
        <w:tc>
          <w:tcPr>
            <w:tcW w:type="dxa" w:w="2520"/>
          </w:tcPr>
          <w:p>
            <w:pPr>
              <w:jc w:val="center"/>
            </w:pPr>
            <w:r>
              <w:rPr>
                <w:rFonts w:ascii="Times New Roman" w:hAnsi="Times New Roman"/>
                <w:sz w:val="16"/>
              </w:rPr>
              <w:t>Distinguishes standing (~0°), sitting (~45°), lying (~90°)</w:t>
            </w:r>
          </w:p>
        </w:tc>
      </w:tr>
      <w:tr>
        <w:tc>
          <w:tcPr>
            <w:tcW w:type="dxa" w:w="2520"/>
          </w:tcPr>
          <w:p>
            <w:pPr>
              <w:jc w:val="center"/>
            </w:pPr>
            <w:r>
              <w:rPr>
                <w:rFonts w:ascii="Times New Roman" w:hAnsi="Times New Roman"/>
                <w:sz w:val="16"/>
              </w:rPr>
              <w:t>F9</w:t>
            </w:r>
          </w:p>
        </w:tc>
        <w:tc>
          <w:tcPr>
            <w:tcW w:type="dxa" w:w="2520"/>
          </w:tcPr>
          <w:p>
            <w:pPr>
              <w:jc w:val="center"/>
            </w:pPr>
            <w:r>
              <w:rPr>
                <w:rFonts w:ascii="Times New Roman" w:hAnsi="Times New Roman"/>
                <w:sz w:val="16"/>
              </w:rPr>
              <w:t>max_torso_angle</w:t>
            </w:r>
          </w:p>
        </w:tc>
        <w:tc>
          <w:tcPr>
            <w:tcW w:type="dxa" w:w="2520"/>
          </w:tcPr>
          <w:p>
            <w:pPr>
              <w:jc w:val="center"/>
            </w:pPr>
            <w:r>
              <w:rPr>
                <w:rFonts w:ascii="Times New Roman" w:hAnsi="Times New Roman"/>
                <w:sz w:val="16"/>
              </w:rPr>
              <w:t>Maximum torso inclination over 90-frame window</w:t>
            </w:r>
          </w:p>
        </w:tc>
        <w:tc>
          <w:tcPr>
            <w:tcW w:type="dxa" w:w="2520"/>
          </w:tcPr>
          <w:p>
            <w:pPr>
              <w:jc w:val="center"/>
            </w:pPr>
            <w:r>
              <w:rPr>
                <w:rFonts w:ascii="Times New Roman" w:hAnsi="Times New Roman"/>
                <w:sz w:val="16"/>
              </w:rPr>
              <w:t>Peak lean during balance recovery attempts</w:t>
            </w:r>
          </w:p>
        </w:tc>
      </w:tr>
      <w:tr>
        <w:tc>
          <w:tcPr>
            <w:tcW w:type="dxa" w:w="2520"/>
          </w:tcPr>
          <w:p>
            <w:pPr>
              <w:jc w:val="center"/>
            </w:pPr>
            <w:r>
              <w:rPr>
                <w:rFonts w:ascii="Times New Roman" w:hAnsi="Times New Roman"/>
                <w:sz w:val="16"/>
              </w:rPr>
              <w:t>F10</w:t>
            </w:r>
          </w:p>
        </w:tc>
        <w:tc>
          <w:tcPr>
            <w:tcW w:type="dxa" w:w="2520"/>
          </w:tcPr>
          <w:p>
            <w:pPr>
              <w:jc w:val="center"/>
            </w:pPr>
            <w:r>
              <w:rPr>
                <w:rFonts w:ascii="Times New Roman" w:hAnsi="Times New Roman"/>
                <w:sz w:val="16"/>
              </w:rPr>
              <w:t>mean_angular_vel</w:t>
            </w:r>
          </w:p>
        </w:tc>
        <w:tc>
          <w:tcPr>
            <w:tcW w:type="dxa" w:w="2520"/>
          </w:tcPr>
          <w:p>
            <w:pPr>
              <w:jc w:val="center"/>
            </w:pPr>
            <w:r>
              <w:rPr>
                <w:rFonts w:ascii="Times New Roman" w:hAnsi="Times New Roman"/>
                <w:sz w:val="16"/>
              </w:rPr>
              <w:t>Mean angular velocity of torso vector</w:t>
            </w:r>
          </w:p>
        </w:tc>
        <w:tc>
          <w:tcPr>
            <w:tcW w:type="dxa" w:w="2520"/>
          </w:tcPr>
          <w:p>
            <w:pPr>
              <w:jc w:val="center"/>
            </w:pPr>
            <w:r>
              <w:rPr>
                <w:rFonts w:ascii="Times New Roman" w:hAnsi="Times New Roman"/>
                <w:sz w:val="16"/>
              </w:rPr>
              <w:t>Exceeds normal ADL range during fall events</w:t>
            </w:r>
          </w:p>
        </w:tc>
      </w:tr>
      <w:tr>
        <w:tc>
          <w:tcPr>
            <w:tcW w:type="dxa" w:w="2520"/>
          </w:tcPr>
          <w:p>
            <w:pPr>
              <w:jc w:val="center"/>
            </w:pPr>
            <w:r>
              <w:rPr>
                <w:rFonts w:ascii="Times New Roman" w:hAnsi="Times New Roman"/>
                <w:sz w:val="16"/>
              </w:rPr>
              <w:t>F11</w:t>
            </w:r>
          </w:p>
        </w:tc>
        <w:tc>
          <w:tcPr>
            <w:tcW w:type="dxa" w:w="2520"/>
          </w:tcPr>
          <w:p>
            <w:pPr>
              <w:jc w:val="center"/>
            </w:pPr>
            <w:r>
              <w:rPr>
                <w:rFonts w:ascii="Times New Roman" w:hAnsi="Times New Roman"/>
                <w:sz w:val="16"/>
              </w:rPr>
              <w:t>mean_aspect_ratio</w:t>
            </w:r>
          </w:p>
        </w:tc>
        <w:tc>
          <w:tcPr>
            <w:tcW w:type="dxa" w:w="2520"/>
          </w:tcPr>
          <w:p>
            <w:pPr>
              <w:jc w:val="center"/>
            </w:pPr>
            <w:r>
              <w:rPr>
                <w:rFonts w:ascii="Times New Roman" w:hAnsi="Times New Roman"/>
                <w:sz w:val="16"/>
              </w:rPr>
              <w:t>Body bounding-box height/width ratio (mean)</w:t>
            </w:r>
          </w:p>
        </w:tc>
        <w:tc>
          <w:tcPr>
            <w:tcW w:type="dxa" w:w="2520"/>
          </w:tcPr>
          <w:p>
            <w:pPr>
              <w:jc w:val="center"/>
            </w:pPr>
            <w:r>
              <w:rPr>
                <w:rFonts w:ascii="Times New Roman" w:hAnsi="Times New Roman"/>
                <w:sz w:val="16"/>
              </w:rPr>
              <w:t>Collapses from tall/narrow (standing) to flat (lying)</w:t>
            </w:r>
          </w:p>
        </w:tc>
      </w:tr>
      <w:tr>
        <w:tc>
          <w:tcPr>
            <w:tcW w:type="dxa" w:w="2520"/>
          </w:tcPr>
          <w:p>
            <w:pPr>
              <w:jc w:val="center"/>
            </w:pPr>
            <w:r>
              <w:rPr>
                <w:rFonts w:ascii="Times New Roman" w:hAnsi="Times New Roman"/>
                <w:sz w:val="16"/>
              </w:rPr>
              <w:t>F12</w:t>
            </w:r>
          </w:p>
        </w:tc>
        <w:tc>
          <w:tcPr>
            <w:tcW w:type="dxa" w:w="2520"/>
          </w:tcPr>
          <w:p>
            <w:pPr>
              <w:jc w:val="center"/>
            </w:pPr>
            <w:r>
              <w:rPr>
                <w:rFonts w:ascii="Times New Roman" w:hAnsi="Times New Roman"/>
                <w:sz w:val="16"/>
              </w:rPr>
              <w:t>max_aspect_ratio</w:t>
            </w:r>
          </w:p>
        </w:tc>
        <w:tc>
          <w:tcPr>
            <w:tcW w:type="dxa" w:w="2520"/>
          </w:tcPr>
          <w:p>
            <w:pPr>
              <w:jc w:val="center"/>
            </w:pPr>
            <w:r>
              <w:rPr>
                <w:rFonts w:ascii="Times New Roman" w:hAnsi="Times New Roman"/>
                <w:sz w:val="16"/>
              </w:rPr>
              <w:t>Maximum aspect ratio over window</w:t>
            </w:r>
          </w:p>
        </w:tc>
        <w:tc>
          <w:tcPr>
            <w:tcW w:type="dxa" w:w="2520"/>
          </w:tcPr>
          <w:p>
            <w:pPr>
              <w:jc w:val="center"/>
            </w:pPr>
            <w:r>
              <w:rPr>
                <w:rFonts w:ascii="Times New Roman" w:hAnsi="Times New Roman"/>
                <w:sz w:val="16"/>
              </w:rPr>
              <w:t>Brief wide-stance postures as early instability indicators</w:t>
            </w:r>
          </w:p>
        </w:tc>
      </w:tr>
      <w:tr>
        <w:tc>
          <w:tcPr>
            <w:tcW w:type="dxa" w:w="2520"/>
          </w:tcPr>
          <w:p>
            <w:pPr>
              <w:jc w:val="center"/>
            </w:pPr>
            <w:r>
              <w:rPr>
                <w:rFonts w:ascii="Times New Roman" w:hAnsi="Times New Roman"/>
                <w:sz w:val="16"/>
              </w:rPr>
              <w:t>F13</w:t>
            </w:r>
          </w:p>
        </w:tc>
        <w:tc>
          <w:tcPr>
            <w:tcW w:type="dxa" w:w="2520"/>
          </w:tcPr>
          <w:p>
            <w:pPr>
              <w:jc w:val="center"/>
            </w:pPr>
            <w:r>
              <w:rPr>
                <w:rFonts w:ascii="Times New Roman" w:hAnsi="Times New Roman"/>
                <w:sz w:val="16"/>
              </w:rPr>
              <w:t>std_torso_sway</w:t>
            </w:r>
          </w:p>
        </w:tc>
        <w:tc>
          <w:tcPr>
            <w:tcW w:type="dxa" w:w="2520"/>
          </w:tcPr>
          <w:p>
            <w:pPr>
              <w:jc w:val="center"/>
            </w:pPr>
            <w:r>
              <w:rPr>
                <w:rFonts w:ascii="Times New Roman" w:hAnsi="Times New Roman"/>
                <w:sz w:val="16"/>
              </w:rPr>
              <w:t>0.60×σ(torso_angle) + 0.40×(oscillation_count/T)</w:t>
            </w:r>
          </w:p>
        </w:tc>
        <w:tc>
          <w:tcPr>
            <w:tcW w:type="dxa" w:w="2520"/>
          </w:tcPr>
          <w:p>
            <w:pPr>
              <w:jc w:val="center"/>
            </w:pPr>
            <w:r>
              <w:rPr>
                <w:rFonts w:ascii="Times New Roman" w:hAnsi="Times New Roman"/>
                <w:sz w:val="16"/>
              </w:rPr>
              <w:t>Novel blend: sway amplitude + oscillation frequency [18]</w:t>
            </w:r>
          </w:p>
        </w:tc>
      </w:tr>
      <w:tr>
        <w:tc>
          <w:tcPr>
            <w:tcW w:type="dxa" w:w="2520"/>
          </w:tcPr>
          <w:p>
            <w:pPr>
              <w:jc w:val="center"/>
            </w:pPr>
            <w:r>
              <w:rPr>
                <w:rFonts w:ascii="Times New Roman" w:hAnsi="Times New Roman"/>
                <w:sz w:val="16"/>
              </w:rPr>
              <w:t>F14</w:t>
            </w:r>
          </w:p>
        </w:tc>
        <w:tc>
          <w:tcPr>
            <w:tcW w:type="dxa" w:w="2520"/>
          </w:tcPr>
          <w:p>
            <w:pPr>
              <w:jc w:val="center"/>
            </w:pPr>
            <w:r>
              <w:rPr>
                <w:rFonts w:ascii="Times New Roman" w:hAnsi="Times New Roman"/>
                <w:sz w:val="16"/>
              </w:rPr>
              <w:t>std_hip_lateral</w:t>
            </w:r>
          </w:p>
        </w:tc>
        <w:tc>
          <w:tcPr>
            <w:tcW w:type="dxa" w:w="2520"/>
          </w:tcPr>
          <w:p>
            <w:pPr>
              <w:jc w:val="center"/>
            </w:pPr>
            <w:r>
              <w:rPr>
                <w:rFonts w:ascii="Times New Roman" w:hAnsi="Times New Roman"/>
                <w:sz w:val="16"/>
              </w:rPr>
              <w:t>Standard deviation of horizontal mid-hip position</w:t>
            </w:r>
          </w:p>
        </w:tc>
        <w:tc>
          <w:tcPr>
            <w:tcW w:type="dxa" w:w="2520"/>
          </w:tcPr>
          <w:p>
            <w:pPr>
              <w:jc w:val="center"/>
            </w:pPr>
            <w:r>
              <w:rPr>
                <w:rFonts w:ascii="Times New Roman" w:hAnsi="Times New Roman"/>
                <w:sz w:val="16"/>
              </w:rPr>
              <w:t>Lateral balance instability — asymmetric weight shifts</w:t>
            </w:r>
          </w:p>
        </w:tc>
      </w:tr>
      <w:tr>
        <w:tc>
          <w:tcPr>
            <w:tcW w:type="dxa" w:w="2520"/>
          </w:tcPr>
          <w:p>
            <w:pPr>
              <w:jc w:val="center"/>
            </w:pPr>
            <w:r>
              <w:rPr>
                <w:rFonts w:ascii="Times New Roman" w:hAnsi="Times New Roman"/>
                <w:sz w:val="16"/>
              </w:rPr>
              <w:t>F15</w:t>
            </w:r>
          </w:p>
        </w:tc>
        <w:tc>
          <w:tcPr>
            <w:tcW w:type="dxa" w:w="2520"/>
          </w:tcPr>
          <w:p>
            <w:pPr>
              <w:jc w:val="center"/>
            </w:pPr>
            <w:r>
              <w:rPr>
                <w:rFonts w:ascii="Times New Roman" w:hAnsi="Times New Roman"/>
                <w:sz w:val="16"/>
              </w:rPr>
              <w:t>std_hip_vertical</w:t>
            </w:r>
          </w:p>
        </w:tc>
        <w:tc>
          <w:tcPr>
            <w:tcW w:type="dxa" w:w="2520"/>
          </w:tcPr>
          <w:p>
            <w:pPr>
              <w:jc w:val="center"/>
            </w:pPr>
            <w:r>
              <w:rPr>
                <w:rFonts w:ascii="Times New Roman" w:hAnsi="Times New Roman"/>
                <w:sz w:val="16"/>
              </w:rPr>
              <w:t>Standard deviation of vertical mid-hip position</w:t>
            </w:r>
          </w:p>
        </w:tc>
        <w:tc>
          <w:tcPr>
            <w:tcW w:type="dxa" w:w="2520"/>
          </w:tcPr>
          <w:p>
            <w:pPr>
              <w:jc w:val="center"/>
            </w:pPr>
            <w:r>
              <w:rPr>
                <w:rFonts w:ascii="Times New Roman" w:hAnsi="Times New Roman"/>
                <w:sz w:val="16"/>
              </w:rPr>
              <w:t>Vertical hip bobbing — disrupted gait rhythm</w:t>
            </w:r>
          </w:p>
        </w:tc>
      </w:tr>
      <w:tr>
        <w:tc>
          <w:tcPr>
            <w:tcW w:type="dxa" w:w="2520"/>
          </w:tcPr>
          <w:p>
            <w:pPr>
              <w:jc w:val="center"/>
            </w:pPr>
            <w:r>
              <w:rPr>
                <w:rFonts w:ascii="Times New Roman" w:hAnsi="Times New Roman"/>
                <w:sz w:val="16"/>
              </w:rPr>
              <w:t>F16</w:t>
            </w:r>
          </w:p>
        </w:tc>
        <w:tc>
          <w:tcPr>
            <w:tcW w:type="dxa" w:w="2520"/>
          </w:tcPr>
          <w:p>
            <w:pPr>
              <w:jc w:val="center"/>
            </w:pPr>
            <w:r>
              <w:rPr>
                <w:rFonts w:ascii="Times New Roman" w:hAnsi="Times New Roman"/>
                <w:sz w:val="16"/>
              </w:rPr>
              <w:t>hip_path_length</w:t>
            </w:r>
          </w:p>
        </w:tc>
        <w:tc>
          <w:tcPr>
            <w:tcW w:type="dxa" w:w="2520"/>
          </w:tcPr>
          <w:p>
            <w:pPr>
              <w:jc w:val="center"/>
            </w:pPr>
            <w:r>
              <w:rPr>
                <w:rFonts w:ascii="Times New Roman" w:hAnsi="Times New Roman"/>
                <w:sz w:val="16"/>
              </w:rPr>
              <w:t>Cumulative Euclidean trajectory length of mid-hip</w:t>
            </w:r>
          </w:p>
        </w:tc>
        <w:tc>
          <w:tcPr>
            <w:tcW w:type="dxa" w:w="2520"/>
          </w:tcPr>
          <w:p>
            <w:pPr>
              <w:jc w:val="center"/>
            </w:pPr>
            <w:r>
              <w:rPr>
                <w:rFonts w:ascii="Times New Roman" w:hAnsi="Times New Roman"/>
                <w:sz w:val="16"/>
              </w:rPr>
              <w:t>Total movement distance — elevated in panic or stumbling</w:t>
            </w:r>
          </w:p>
        </w:tc>
      </w:tr>
      <w:tr>
        <w:tc>
          <w:tcPr>
            <w:tcW w:type="dxa" w:w="2520"/>
          </w:tcPr>
          <w:p>
            <w:pPr>
              <w:jc w:val="center"/>
            </w:pPr>
            <w:r>
              <w:rPr>
                <w:rFonts w:ascii="Times New Roman" w:hAnsi="Times New Roman"/>
                <w:sz w:val="16"/>
              </w:rPr>
              <w:t>F17</w:t>
            </w:r>
          </w:p>
        </w:tc>
        <w:tc>
          <w:tcPr>
            <w:tcW w:type="dxa" w:w="2520"/>
          </w:tcPr>
          <w:p>
            <w:pPr>
              <w:jc w:val="center"/>
            </w:pPr>
            <w:r>
              <w:rPr>
                <w:rFonts w:ascii="Times New Roman" w:hAnsi="Times New Roman"/>
                <w:sz w:val="16"/>
              </w:rPr>
              <w:t>min_hip_height_ratio</w:t>
            </w:r>
          </w:p>
        </w:tc>
        <w:tc>
          <w:tcPr>
            <w:tcW w:type="dxa" w:w="2520"/>
          </w:tcPr>
          <w:p>
            <w:pPr>
              <w:jc w:val="center"/>
            </w:pPr>
            <w:r>
              <w:rPr>
                <w:rFonts w:ascii="Times New Roman" w:hAnsi="Times New Roman"/>
                <w:sz w:val="16"/>
              </w:rPr>
              <w:t>Minimum hip height normalised by torso length</w:t>
            </w:r>
          </w:p>
        </w:tc>
        <w:tc>
          <w:tcPr>
            <w:tcW w:type="dxa" w:w="2520"/>
          </w:tcPr>
          <w:p>
            <w:pPr>
              <w:jc w:val="center"/>
            </w:pPr>
            <w:r>
              <w:rPr>
                <w:rFonts w:ascii="Times New Roman" w:hAnsi="Times New Roman"/>
                <w:sz w:val="16"/>
              </w:rPr>
              <w:t>Ground proximity — most reliable post-fall discriminator</w:t>
            </w:r>
          </w:p>
        </w:tc>
      </w:tr>
      <w:tr>
        <w:tc>
          <w:tcPr>
            <w:tcW w:type="dxa" w:w="2520"/>
          </w:tcPr>
          <w:p>
            <w:pPr>
              <w:jc w:val="center"/>
            </w:pPr>
            <w:r>
              <w:rPr>
                <w:rFonts w:ascii="Times New Roman" w:hAnsi="Times New Roman"/>
                <w:sz w:val="16"/>
              </w:rPr>
              <w:t>F18</w:t>
            </w:r>
          </w:p>
        </w:tc>
        <w:tc>
          <w:tcPr>
            <w:tcW w:type="dxa" w:w="2520"/>
          </w:tcPr>
          <w:p>
            <w:pPr>
              <w:jc w:val="center"/>
            </w:pPr>
            <w:r>
              <w:rPr>
                <w:rFonts w:ascii="Times New Roman" w:hAnsi="Times New Roman"/>
                <w:sz w:val="16"/>
              </w:rPr>
              <w:t>gait_dispersion</w:t>
            </w:r>
          </w:p>
        </w:tc>
        <w:tc>
          <w:tcPr>
            <w:tcW w:type="dxa" w:w="2520"/>
          </w:tcPr>
          <w:p>
            <w:pPr>
              <w:jc w:val="center"/>
            </w:pPr>
            <w:r>
              <w:rPr>
                <w:rFonts w:ascii="Times New Roman" w:hAnsi="Times New Roman"/>
                <w:sz w:val="16"/>
              </w:rPr>
              <w:t>2D convex hull area of mid-hip trajectory</w:t>
            </w:r>
          </w:p>
        </w:tc>
        <w:tc>
          <w:tcPr>
            <w:tcW w:type="dxa" w:w="2520"/>
          </w:tcPr>
          <w:p>
            <w:pPr>
              <w:jc w:val="center"/>
            </w:pPr>
            <w:r>
              <w:rPr>
                <w:rFonts w:ascii="Times New Roman" w:hAnsi="Times New Roman"/>
                <w:sz w:val="16"/>
              </w:rPr>
              <w:t>Spatial spread of movement — chaotic in fall trajectories</w:t>
            </w:r>
          </w:p>
        </w:tc>
      </w:tr>
    </w:tbl>
    <w:p>
      <w:pPr>
        <w:spacing w:after="120"/>
        <w:ind w:firstLine="280"/>
        <w:jc w:val="both"/>
      </w:pPr>
      <w:r>
        <w:rPr>
          <w:rFonts w:ascii="Times New Roman" w:hAnsi="Times New Roman"/>
          <w:b/>
          <w:i w:val="0"/>
          <w:sz w:val="20"/>
        </w:rPr>
        <w:t xml:space="preserve">Feature F13 is a novel contribution. </w:t>
      </w:r>
      <w:r>
        <w:rPr>
          <w:rFonts w:ascii="Times New Roman" w:hAnsi="Times New Roman"/>
          <w:b w:val="0"/>
          <w:i w:val="0"/>
          <w:sz w:val="20"/>
        </w:rPr>
        <w:t>Standard sway quantification uses only the standard deviation of torso angle (amplitude only), which is insensitive to high-frequency low-amplitude oscillations—a known precursor to freezing-of-gait and balance failure in elderly patients [18]. F13 blends sway amplitude (σ of torso angle, weight 0.60) with a normalised oscillation count (weight 0.40), with weighting selected by grid search on the validation set.</w:t>
      </w:r>
    </w:p>
    <w:p>
      <w:pPr>
        <w:pStyle w:val="Heading3"/>
        <w:jc w:val="left"/>
      </w:pPr>
      <w:r>
        <w:rPr>
          <w:rFonts w:ascii="Times New Roman" w:hAnsi="Times New Roman"/>
          <w:color w:val="000000"/>
        </w:rPr>
        <w:t>E.  Model Architecture</w:t>
      </w:r>
    </w:p>
    <w:p>
      <w:pPr>
        <w:spacing w:after="80"/>
        <w:ind w:firstLine="280"/>
        <w:jc w:val="both"/>
      </w:pPr>
      <w:r>
        <w:rPr>
          <w:rFonts w:ascii="Times New Roman" w:hAnsi="Times New Roman"/>
          <w:b/>
          <w:i w:val="0"/>
          <w:sz w:val="20"/>
        </w:rPr>
        <w:t xml:space="preserve">ST-GCN Branch. </w:t>
      </w:r>
      <w:r>
        <w:rPr>
          <w:rFonts w:ascii="Times New Roman" w:hAnsi="Times New Roman"/>
          <w:b w:val="0"/>
          <w:i w:val="0"/>
          <w:sz w:val="20"/>
        </w:rPr>
        <w:t>The Spatial-Temporal Graph Convolutional Network [2] processes the (T=90, V=14, C=4) skeleton tensor over a fixed anatomical graph encoding 14 joint connections and 14 bone edges. Three graph-temporal convolutional layers (channel progression 32→64→128, temporal kernel size 9) capture spatial co-occurrence patterns between anatomically connected joints and temporal motion dynamics within the 3-second window. Global average pooling produces a 128-dimensional motion-context embedding.</w:t>
      </w:r>
    </w:p>
    <w:p>
      <w:pPr>
        <w:spacing w:after="80"/>
        <w:ind w:firstLine="280"/>
        <w:jc w:val="both"/>
      </w:pPr>
      <w:r>
        <w:rPr>
          <w:rFonts w:ascii="Times New Roman" w:hAnsi="Times New Roman"/>
          <w:b/>
          <w:i w:val="0"/>
          <w:sz w:val="20"/>
        </w:rPr>
        <w:t xml:space="preserve">Feature Classifier Branch. </w:t>
      </w:r>
      <w:r>
        <w:rPr>
          <w:rFonts w:ascii="Times New Roman" w:hAnsi="Times New Roman"/>
          <w:b w:val="0"/>
          <w:i w:val="0"/>
          <w:sz w:val="20"/>
        </w:rPr>
        <w:t>The 18 biomechanical features are processed by a shallow three-layer MLP (18→64→32→2) with ReLU activations and 0.3 dropout, trained independently before fusion to ensure that feature gradients do not interfere with ST-GCN convergence.</w:t>
      </w:r>
    </w:p>
    <w:p>
      <w:pPr>
        <w:spacing w:after="80"/>
        <w:ind w:firstLine="280"/>
        <w:jc w:val="both"/>
      </w:pPr>
      <w:r>
        <w:rPr>
          <w:rFonts w:ascii="Times New Roman" w:hAnsi="Times New Roman"/>
          <w:b/>
          <w:i w:val="0"/>
          <w:sz w:val="20"/>
        </w:rPr>
        <w:t xml:space="preserve">Late Fusion Network (proposed model). </w:t>
      </w:r>
      <w:r>
        <w:rPr>
          <w:rFonts w:ascii="Times New Roman" w:hAnsi="Times New Roman"/>
          <w:b w:val="0"/>
          <w:i w:val="0"/>
          <w:sz w:val="20"/>
        </w:rPr>
        <w:t>The 128-dimensional ST-GCN embedding and the 18-dimensional standardised feature vector are concatenated into a 146-dimensional joint representation passed through a two-layer MLP (146→64→2) with ReLU and 0.3 dropout. Late fusion was selected over early or intermediate fusion because the two branches encode fundamentally different representations—continuous latent embeddings vs. discrete biomechanical measurements—and concatenating at the decision boundary allows each branch to independently optimise its representation before combining evidence. This architecture also enables the ablation study in which each branch is evaluated in isolation.</w:t>
      </w:r>
    </w:p>
    <w:p>
      <w:pPr>
        <w:spacing w:after="120"/>
        <w:ind w:firstLine="280"/>
        <w:jc w:val="both"/>
      </w:pPr>
      <w:r>
        <w:rPr>
          <w:rFonts w:ascii="Times New Roman" w:hAnsi="Times New Roman"/>
          <w:b/>
          <w:i w:val="0"/>
          <w:sz w:val="20"/>
        </w:rPr>
        <w:t xml:space="preserve">Webcam Fine-tuning Pipeline. </w:t>
      </w:r>
      <w:r>
        <w:rPr>
          <w:rFonts w:ascii="Times New Roman" w:hAnsi="Times New Roman"/>
          <w:b w:val="0"/>
          <w:i w:val="0"/>
          <w:sz w:val="20"/>
        </w:rPr>
        <w:t>The NTU+UR-trained fusion model performs near chance level on real webcam footage (ROC-AUC = 0.410) due to domain shift caused by differences in viewing angle, background complexity, subject clothing, and lighting variation [4][9]. This domain shift is an expected property of any model trained on laboratory datasets and applied to a new deployment environment; it is not a model failure but rather the empirical justification for the fine-tuning pipeline. To address this without requiring a large in-house labelled corpus, only the final two layers of the Late Fusion Network are retrained on the in-house webcam dataset using a reduced learning rate (1×10⁻⁴), preserving the ST-GCN's learned motion representations while adapting the decision boundary to the deployment domain. The fine-tuned model (threshold θ = 0.60) is the model used in live deployment.</w:t>
      </w:r>
    </w:p>
    <w:p>
      <w:pPr>
        <w:pStyle w:val="Heading3"/>
        <w:jc w:val="left"/>
      </w:pPr>
      <w:r>
        <w:rPr>
          <w:rFonts w:ascii="Times New Roman" w:hAnsi="Times New Roman"/>
          <w:color w:val="000000"/>
        </w:rPr>
        <w:t>F.  Baseline Models</w:t>
      </w:r>
    </w:p>
    <w:p>
      <w:pPr>
        <w:spacing w:before="0" w:after="120"/>
        <w:ind w:firstLine="280"/>
        <w:jc w:val="both"/>
      </w:pPr>
      <w:r>
        <w:rPr>
          <w:rFonts w:ascii="Times New Roman" w:hAnsi="Times New Roman"/>
          <w:b w:val="0"/>
          <w:i w:val="0"/>
          <w:sz w:val="20"/>
        </w:rPr>
        <w:t>Two baselines are used for comparison. The primary baseline is a Random Forest classifier (300 trees, unconstrained depth) trained on the same 18 handcrafted features without deep learning or graph structure—the standard traditional-ML baseline in the fall detection literature [19]. The secondary baseline is the ST-GCN branch evaluated in isolation (without feature fusion), establishing the marginal contribution of the feature branch. Both baselines use identical splits and preprocessing, ensuring differences are attributable solely to architecture.</w:t>
      </w:r>
    </w:p>
    <w:p>
      <w:pPr>
        <w:pStyle w:val="Heading3"/>
        <w:jc w:val="left"/>
      </w:pPr>
      <w:r>
        <w:rPr>
          <w:rFonts w:ascii="Times New Roman" w:hAnsi="Times New Roman"/>
          <w:color w:val="000000"/>
        </w:rPr>
        <w:t>G.  Hyperparameters and Selection Procedure</w:t>
      </w:r>
    </w:p>
    <w:p>
      <w:pPr>
        <w:spacing w:before="0" w:after="120"/>
        <w:ind w:firstLine="280"/>
        <w:jc w:val="both"/>
      </w:pPr>
      <w:r>
        <w:rPr>
          <w:rFonts w:ascii="Times New Roman" w:hAnsi="Times New Roman"/>
          <w:b w:val="0"/>
          <w:i w:val="0"/>
          <w:sz w:val="20"/>
        </w:rPr>
        <w:t>The ST-GCN was trained with 3 graph-temporal convolutional layers, channel progression 32→64→128, temporal kernel size 9, learning rate 1×10⁻³, weight decay 1×10⁻⁴, batch size 32, maximum 60 epochs, and early-stopping patience 10 (monitoring validation macro-F1). The Feature Classifier used learning rate 3×10⁻⁴, batch size 32, dropout 0.3. The Late Fusion Network used learning rate 3×10⁻⁴, batch size 32, dropout 0.3. During webcam fine-tuning, only the final two layers were unfrozen with learning rate reduced to 1×10⁻⁴ and maximum 30 epochs. All experiments used the Adam optimiser with cross-entropy loss weighted inversely proportional to class frequency. Classification threshold θ = 0.50 for the general model; θ = 0.60 for the deployed webcam model (selected to minimise FAR while maintaining clinically acceptable sensitivity). Random seed 42 was fixed for all PyTorch, NumPy, and scikit-learn operations.</w:t>
      </w:r>
    </w:p>
    <w:p>
      <w:pPr>
        <w:pStyle w:val="Heading3"/>
        <w:jc w:val="left"/>
      </w:pPr>
      <w:r>
        <w:rPr>
          <w:rFonts w:ascii="Times New Roman" w:hAnsi="Times New Roman"/>
          <w:color w:val="000000"/>
        </w:rPr>
        <w:t>H.  Zone-Aware Context Engine</w:t>
      </w:r>
    </w:p>
    <w:p>
      <w:pPr>
        <w:spacing w:before="0" w:after="80"/>
        <w:ind w:firstLine="280"/>
        <w:jc w:val="both"/>
      </w:pPr>
      <w:r>
        <w:rPr>
          <w:rFonts w:ascii="Times New Roman" w:hAnsi="Times New Roman"/>
          <w:b w:val="0"/>
          <w:i w:val="0"/>
          <w:sz w:val="20"/>
        </w:rPr>
        <w:t>Existing fall detection pipelines treat all spatial locations equivalently. This component introduces a Zone-Aware Context Engine that modulates the raw fusion score based on the patient's detected location and current posture. Posture is classified per frame into five states (STANDING, SITTING, LYING, WALKING, TRANSITION) using joint geometry thresholds. Room zones (BED, CHAIR, WALKING) are configured once by clinical supervisors at installation time as normalised polygon regions via the CareSense web interface; the patient's mid-hip position is tested against each polygon using the ray-casting algorithm [20] at each inference step. This one-time setup requires no technical expertise and takes under two minutes per room.</w:t>
      </w:r>
    </w:p>
    <w:p>
      <w:pPr>
        <w:spacing w:before="0" w:after="80"/>
        <w:ind w:firstLine="280"/>
        <w:jc w:val="both"/>
      </w:pPr>
      <w:r>
        <w:rPr>
          <w:rFonts w:ascii="Times New Roman" w:hAnsi="Times New Roman"/>
          <w:b w:val="0"/>
          <w:i w:val="0"/>
          <w:sz w:val="20"/>
        </w:rPr>
        <w:t>A zone-posture-specific additive modifier δ is applied to the fusion score: score_adjusted = clip(fusion_prob + δ, 0.0, 1.0). Table II defines all modifier values. The same raw model score of 0.65 generates a HIGH alert (≥0.85 after δ=+0.20) in the BED zone with lateral lean, while remaining MODERATE in a WALKING zone—a contextually correct differential response that prior detection systems cannot express.</w:t>
      </w:r>
    </w:p>
    <w:p>
      <w:pPr>
        <w:spacing w:before="120" w:after="80"/>
        <w:jc w:val="center"/>
      </w:pPr>
      <w:r>
        <w:rPr>
          <w:rFonts w:ascii="Times New Roman" w:hAnsi="Times New Roman"/>
          <w:b/>
          <w:sz w:val="18"/>
        </w:rPr>
        <w:t>TABLE II — ZONE-AWARE RISK MODIFIER (Δ) TABLE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pPr>
              <w:jc w:val="center"/>
            </w:pPr>
            <w:r>
              <w:rPr>
                <w:rFonts w:ascii="Times New Roman" w:hAnsi="Times New Roman"/>
                <w:b/>
                <w:sz w:val="18"/>
              </w:rPr>
              <w:t>Zone</w:t>
            </w:r>
          </w:p>
        </w:tc>
        <w:tc>
          <w:tcPr>
            <w:tcW w:type="dxa" w:w="2016"/>
            <w:vAlign w:val="center"/>
          </w:tcPr>
          <w:p>
            <w:pPr>
              <w:jc w:val="center"/>
            </w:pPr>
            <w:r>
              <w:rPr>
                <w:rFonts w:ascii="Times New Roman" w:hAnsi="Times New Roman"/>
                <w:b/>
                <w:sz w:val="18"/>
              </w:rPr>
              <w:t>Posture</w:t>
            </w:r>
          </w:p>
        </w:tc>
        <w:tc>
          <w:tcPr>
            <w:tcW w:type="dxa" w:w="2016"/>
            <w:vAlign w:val="center"/>
          </w:tcPr>
          <w:p>
            <w:pPr>
              <w:jc w:val="center"/>
            </w:pPr>
            <w:r>
              <w:rPr>
                <w:rFonts w:ascii="Times New Roman" w:hAnsi="Times New Roman"/>
                <w:b/>
                <w:sz w:val="18"/>
              </w:rPr>
              <w:t>Condition</w:t>
            </w:r>
          </w:p>
        </w:tc>
        <w:tc>
          <w:tcPr>
            <w:tcW w:type="dxa" w:w="2016"/>
            <w:vAlign w:val="center"/>
          </w:tcPr>
          <w:p>
            <w:pPr>
              <w:jc w:val="center"/>
            </w:pPr>
            <w:r>
              <w:rPr>
                <w:rFonts w:ascii="Times New Roman" w:hAnsi="Times New Roman"/>
                <w:b/>
                <w:sz w:val="18"/>
              </w:rPr>
              <w:t>δ</w:t>
            </w:r>
          </w:p>
        </w:tc>
        <w:tc>
          <w:tcPr>
            <w:tcW w:type="dxa" w:w="2016"/>
            <w:vAlign w:val="center"/>
          </w:tcPr>
          <w:p>
            <w:pPr>
              <w:jc w:val="center"/>
            </w:pPr>
            <w:r>
              <w:rPr>
                <w:rFonts w:ascii="Times New Roman" w:hAnsi="Times New Roman"/>
                <w:b/>
                <w:sz w:val="18"/>
              </w:rPr>
              <w:t>Rationale</w:t>
            </w:r>
          </w:p>
        </w:tc>
      </w:tr>
      <w:tr>
        <w:tc>
          <w:tcPr>
            <w:tcW w:type="dxa" w:w="2016"/>
          </w:tcPr>
          <w:p>
            <w:pPr>
              <w:jc w:val="center"/>
            </w:pPr>
            <w:r>
              <w:rPr>
                <w:rFonts w:ascii="Times New Roman" w:hAnsi="Times New Roman"/>
                <w:sz w:val="18"/>
              </w:rPr>
              <w:t>BED</w:t>
            </w:r>
          </w:p>
        </w:tc>
        <w:tc>
          <w:tcPr>
            <w:tcW w:type="dxa" w:w="2016"/>
          </w:tcPr>
          <w:p>
            <w:pPr>
              <w:jc w:val="center"/>
            </w:pPr>
            <w:r>
              <w:rPr>
                <w:rFonts w:ascii="Times New Roman" w:hAnsi="Times New Roman"/>
                <w:sz w:val="18"/>
              </w:rPr>
              <w:t>LYING</w:t>
            </w:r>
          </w:p>
        </w:tc>
        <w:tc>
          <w:tcPr>
            <w:tcW w:type="dxa" w:w="2016"/>
          </w:tcPr>
          <w:p>
            <w:pPr>
              <w:jc w:val="center"/>
            </w:pPr>
            <w:r>
              <w:rPr>
                <w:rFonts w:ascii="Times New Roman" w:hAnsi="Times New Roman"/>
                <w:sz w:val="18"/>
              </w:rPr>
              <w:t>Lateral lean &gt; 12°</w:t>
            </w:r>
          </w:p>
        </w:tc>
        <w:tc>
          <w:tcPr>
            <w:tcW w:type="dxa" w:w="2016"/>
          </w:tcPr>
          <w:p>
            <w:pPr>
              <w:jc w:val="center"/>
            </w:pPr>
            <w:r>
              <w:rPr>
                <w:rFonts w:ascii="Times New Roman" w:hAnsi="Times New Roman"/>
                <w:sz w:val="18"/>
              </w:rPr>
              <w:t>+0.20</w:t>
            </w:r>
          </w:p>
        </w:tc>
        <w:tc>
          <w:tcPr>
            <w:tcW w:type="dxa" w:w="2016"/>
          </w:tcPr>
          <w:p>
            <w:pPr>
              <w:jc w:val="center"/>
            </w:pPr>
            <w:r>
              <w:rPr>
                <w:rFonts w:ascii="Times New Roman" w:hAnsi="Times New Roman"/>
                <w:sz w:val="18"/>
              </w:rPr>
              <w:t>Rolling off bed edge</w:t>
            </w:r>
          </w:p>
        </w:tc>
      </w:tr>
      <w:tr>
        <w:tc>
          <w:tcPr>
            <w:tcW w:type="dxa" w:w="2016"/>
          </w:tcPr>
          <w:p>
            <w:pPr>
              <w:jc w:val="center"/>
            </w:pPr>
            <w:r>
              <w:rPr>
                <w:rFonts w:ascii="Times New Roman" w:hAnsi="Times New Roman"/>
                <w:sz w:val="18"/>
              </w:rPr>
              <w:t>BED</w:t>
            </w:r>
          </w:p>
        </w:tc>
        <w:tc>
          <w:tcPr>
            <w:tcW w:type="dxa" w:w="2016"/>
          </w:tcPr>
          <w:p>
            <w:pPr>
              <w:jc w:val="center"/>
            </w:pPr>
            <w:r>
              <w:rPr>
                <w:rFonts w:ascii="Times New Roman" w:hAnsi="Times New Roman"/>
                <w:sz w:val="18"/>
              </w:rPr>
              <w:t>SITTING</w:t>
            </w:r>
          </w:p>
        </w:tc>
        <w:tc>
          <w:tcPr>
            <w:tcW w:type="dxa" w:w="2016"/>
          </w:tcPr>
          <w:p>
            <w:pPr>
              <w:jc w:val="center"/>
            </w:pPr>
            <w:r>
              <w:rPr>
                <w:rFonts w:ascii="Times New Roman" w:hAnsi="Times New Roman"/>
                <w:sz w:val="18"/>
              </w:rPr>
              <w:t>Lateral lean &gt; 12°</w:t>
            </w:r>
          </w:p>
        </w:tc>
        <w:tc>
          <w:tcPr>
            <w:tcW w:type="dxa" w:w="2016"/>
          </w:tcPr>
          <w:p>
            <w:pPr>
              <w:jc w:val="center"/>
            </w:pPr>
            <w:r>
              <w:rPr>
                <w:rFonts w:ascii="Times New Roman" w:hAnsi="Times New Roman"/>
                <w:sz w:val="18"/>
              </w:rPr>
              <w:t>+0.20</w:t>
            </w:r>
          </w:p>
        </w:tc>
        <w:tc>
          <w:tcPr>
            <w:tcW w:type="dxa" w:w="2016"/>
          </w:tcPr>
          <w:p>
            <w:pPr>
              <w:jc w:val="center"/>
            </w:pPr>
            <w:r>
              <w:rPr>
                <w:rFonts w:ascii="Times New Roman" w:hAnsi="Times New Roman"/>
                <w:sz w:val="18"/>
              </w:rPr>
              <w:t>Falling from seated bed edge</w:t>
            </w:r>
          </w:p>
        </w:tc>
      </w:tr>
      <w:tr>
        <w:tc>
          <w:tcPr>
            <w:tcW w:type="dxa" w:w="2016"/>
          </w:tcPr>
          <w:p>
            <w:pPr>
              <w:jc w:val="center"/>
            </w:pPr>
            <w:r>
              <w:rPr>
                <w:rFonts w:ascii="Times New Roman" w:hAnsi="Times New Roman"/>
                <w:sz w:val="18"/>
              </w:rPr>
              <w:t>BED</w:t>
            </w:r>
          </w:p>
        </w:tc>
        <w:tc>
          <w:tcPr>
            <w:tcW w:type="dxa" w:w="2016"/>
          </w:tcPr>
          <w:p>
            <w:pPr>
              <w:jc w:val="center"/>
            </w:pPr>
            <w:r>
              <w:rPr>
                <w:rFonts w:ascii="Times New Roman" w:hAnsi="Times New Roman"/>
                <w:sz w:val="18"/>
              </w:rPr>
              <w:t>TRANSITION</w:t>
            </w:r>
          </w:p>
        </w:tc>
        <w:tc>
          <w:tcPr>
            <w:tcW w:type="dxa" w:w="2016"/>
          </w:tcPr>
          <w:p>
            <w:pPr>
              <w:jc w:val="center"/>
            </w:pPr>
            <w:r>
              <w:rPr>
                <w:rFonts w:ascii="Times New Roman" w:hAnsi="Times New Roman"/>
                <w:sz w:val="18"/>
              </w:rPr>
              <w:t>—</w:t>
            </w:r>
          </w:p>
        </w:tc>
        <w:tc>
          <w:tcPr>
            <w:tcW w:type="dxa" w:w="2016"/>
          </w:tcPr>
          <w:p>
            <w:pPr>
              <w:jc w:val="center"/>
            </w:pPr>
            <w:r>
              <w:rPr>
                <w:rFonts w:ascii="Times New Roman" w:hAnsi="Times New Roman"/>
                <w:sz w:val="18"/>
              </w:rPr>
              <w:t>+0.15</w:t>
            </w:r>
          </w:p>
        </w:tc>
        <w:tc>
          <w:tcPr>
            <w:tcW w:type="dxa" w:w="2016"/>
          </w:tcPr>
          <w:p>
            <w:pPr>
              <w:jc w:val="center"/>
            </w:pPr>
            <w:r>
              <w:rPr>
                <w:rFonts w:ascii="Times New Roman" w:hAnsi="Times New Roman"/>
                <w:sz w:val="18"/>
              </w:rPr>
              <w:t>Bed-to-stand: highest-risk moment</w:t>
            </w:r>
          </w:p>
        </w:tc>
      </w:tr>
      <w:tr>
        <w:tc>
          <w:tcPr>
            <w:tcW w:type="dxa" w:w="2016"/>
          </w:tcPr>
          <w:p>
            <w:pPr>
              <w:jc w:val="center"/>
            </w:pPr>
            <w:r>
              <w:rPr>
                <w:rFonts w:ascii="Times New Roman" w:hAnsi="Times New Roman"/>
                <w:sz w:val="18"/>
              </w:rPr>
              <w:t>BED</w:t>
            </w:r>
          </w:p>
        </w:tc>
        <w:tc>
          <w:tcPr>
            <w:tcW w:type="dxa" w:w="2016"/>
          </w:tcPr>
          <w:p>
            <w:pPr>
              <w:jc w:val="center"/>
            </w:pPr>
            <w:r>
              <w:rPr>
                <w:rFonts w:ascii="Times New Roman" w:hAnsi="Times New Roman"/>
                <w:sz w:val="18"/>
              </w:rPr>
              <w:t>SITTING</w:t>
            </w:r>
          </w:p>
        </w:tc>
        <w:tc>
          <w:tcPr>
            <w:tcW w:type="dxa" w:w="2016"/>
          </w:tcPr>
          <w:p>
            <w:pPr>
              <w:jc w:val="center"/>
            </w:pPr>
            <w:r>
              <w:rPr>
                <w:rFonts w:ascii="Times New Roman" w:hAnsi="Times New Roman"/>
                <w:sz w:val="18"/>
              </w:rPr>
              <w:t>No significant lean</w:t>
            </w:r>
          </w:p>
        </w:tc>
        <w:tc>
          <w:tcPr>
            <w:tcW w:type="dxa" w:w="2016"/>
          </w:tcPr>
          <w:p>
            <w:pPr>
              <w:jc w:val="center"/>
            </w:pPr>
            <w:r>
              <w:rPr>
                <w:rFonts w:ascii="Times New Roman" w:hAnsi="Times New Roman"/>
                <w:sz w:val="18"/>
              </w:rPr>
              <w:t>+0.08</w:t>
            </w:r>
          </w:p>
        </w:tc>
        <w:tc>
          <w:tcPr>
            <w:tcW w:type="dxa" w:w="2016"/>
          </w:tcPr>
          <w:p>
            <w:pPr>
              <w:jc w:val="center"/>
            </w:pPr>
            <w:r>
              <w:rPr>
                <w:rFonts w:ascii="Times New Roman" w:hAnsi="Times New Roman"/>
                <w:sz w:val="18"/>
              </w:rPr>
              <w:t>Bed-edge sit: baseline boost</w:t>
            </w:r>
          </w:p>
        </w:tc>
      </w:tr>
      <w:tr>
        <w:tc>
          <w:tcPr>
            <w:tcW w:type="dxa" w:w="2016"/>
          </w:tcPr>
          <w:p>
            <w:pPr>
              <w:jc w:val="center"/>
            </w:pPr>
            <w:r>
              <w:rPr>
                <w:rFonts w:ascii="Times New Roman" w:hAnsi="Times New Roman"/>
                <w:sz w:val="18"/>
              </w:rPr>
              <w:t>CHAIR</w:t>
            </w:r>
          </w:p>
        </w:tc>
        <w:tc>
          <w:tcPr>
            <w:tcW w:type="dxa" w:w="2016"/>
          </w:tcPr>
          <w:p>
            <w:pPr>
              <w:jc w:val="center"/>
            </w:pPr>
            <w:r>
              <w:rPr>
                <w:rFonts w:ascii="Times New Roman" w:hAnsi="Times New Roman"/>
                <w:sz w:val="18"/>
              </w:rPr>
              <w:t>SITTING</w:t>
            </w:r>
          </w:p>
        </w:tc>
        <w:tc>
          <w:tcPr>
            <w:tcW w:type="dxa" w:w="2016"/>
          </w:tcPr>
          <w:p>
            <w:pPr>
              <w:jc w:val="center"/>
            </w:pPr>
            <w:r>
              <w:rPr>
                <w:rFonts w:ascii="Times New Roman" w:hAnsi="Times New Roman"/>
                <w:sz w:val="18"/>
              </w:rPr>
              <w:t>Lateral lean &gt; 12°</w:t>
            </w:r>
          </w:p>
        </w:tc>
        <w:tc>
          <w:tcPr>
            <w:tcW w:type="dxa" w:w="2016"/>
          </w:tcPr>
          <w:p>
            <w:pPr>
              <w:jc w:val="center"/>
            </w:pPr>
            <w:r>
              <w:rPr>
                <w:rFonts w:ascii="Times New Roman" w:hAnsi="Times New Roman"/>
                <w:sz w:val="18"/>
              </w:rPr>
              <w:t>+0.20</w:t>
            </w:r>
          </w:p>
        </w:tc>
        <w:tc>
          <w:tcPr>
            <w:tcW w:type="dxa" w:w="2016"/>
          </w:tcPr>
          <w:p>
            <w:pPr>
              <w:jc w:val="center"/>
            </w:pPr>
            <w:r>
              <w:rPr>
                <w:rFonts w:ascii="Times New Roman" w:hAnsi="Times New Roman"/>
                <w:sz w:val="18"/>
              </w:rPr>
              <w:t>Sideways tip from chair</w:t>
            </w:r>
          </w:p>
        </w:tc>
      </w:tr>
      <w:tr>
        <w:tc>
          <w:tcPr>
            <w:tcW w:type="dxa" w:w="2016"/>
          </w:tcPr>
          <w:p>
            <w:pPr>
              <w:jc w:val="center"/>
            </w:pPr>
            <w:r>
              <w:rPr>
                <w:rFonts w:ascii="Times New Roman" w:hAnsi="Times New Roman"/>
                <w:sz w:val="18"/>
              </w:rPr>
              <w:t>CHAIR</w:t>
            </w:r>
          </w:p>
        </w:tc>
        <w:tc>
          <w:tcPr>
            <w:tcW w:type="dxa" w:w="2016"/>
          </w:tcPr>
          <w:p>
            <w:pPr>
              <w:jc w:val="center"/>
            </w:pPr>
            <w:r>
              <w:rPr>
                <w:rFonts w:ascii="Times New Roman" w:hAnsi="Times New Roman"/>
                <w:sz w:val="18"/>
              </w:rPr>
              <w:t>SITTING</w:t>
            </w:r>
          </w:p>
        </w:tc>
        <w:tc>
          <w:tcPr>
            <w:tcW w:type="dxa" w:w="2016"/>
          </w:tcPr>
          <w:p>
            <w:pPr>
              <w:jc w:val="center"/>
            </w:pPr>
            <w:r>
              <w:rPr>
                <w:rFonts w:ascii="Times New Roman" w:hAnsi="Times New Roman"/>
                <w:sz w:val="18"/>
              </w:rPr>
              <w:t>Forward lean &gt; 35°</w:t>
            </w:r>
          </w:p>
        </w:tc>
        <w:tc>
          <w:tcPr>
            <w:tcW w:type="dxa" w:w="2016"/>
          </w:tcPr>
          <w:p>
            <w:pPr>
              <w:jc w:val="center"/>
            </w:pPr>
            <w:r>
              <w:rPr>
                <w:rFonts w:ascii="Times New Roman" w:hAnsi="Times New Roman"/>
                <w:sz w:val="18"/>
              </w:rPr>
              <w:t>+0.15</w:t>
            </w:r>
          </w:p>
        </w:tc>
        <w:tc>
          <w:tcPr>
            <w:tcW w:type="dxa" w:w="2016"/>
          </w:tcPr>
          <w:p>
            <w:pPr>
              <w:jc w:val="center"/>
            </w:pPr>
            <w:r>
              <w:rPr>
                <w:rFonts w:ascii="Times New Roman" w:hAnsi="Times New Roman"/>
                <w:sz w:val="18"/>
              </w:rPr>
              <w:t>Forward slide from chair</w:t>
            </w:r>
          </w:p>
        </w:tc>
      </w:tr>
      <w:tr>
        <w:tc>
          <w:tcPr>
            <w:tcW w:type="dxa" w:w="2016"/>
          </w:tcPr>
          <w:p>
            <w:pPr>
              <w:jc w:val="center"/>
            </w:pPr>
            <w:r>
              <w:rPr>
                <w:rFonts w:ascii="Times New Roman" w:hAnsi="Times New Roman"/>
                <w:sz w:val="18"/>
              </w:rPr>
              <w:t>CHAIR</w:t>
            </w:r>
          </w:p>
        </w:tc>
        <w:tc>
          <w:tcPr>
            <w:tcW w:type="dxa" w:w="2016"/>
          </w:tcPr>
          <w:p>
            <w:pPr>
              <w:jc w:val="center"/>
            </w:pPr>
            <w:r>
              <w:rPr>
                <w:rFonts w:ascii="Times New Roman" w:hAnsi="Times New Roman"/>
                <w:sz w:val="18"/>
              </w:rPr>
              <w:t>TRANSITION</w:t>
            </w:r>
          </w:p>
        </w:tc>
        <w:tc>
          <w:tcPr>
            <w:tcW w:type="dxa" w:w="2016"/>
          </w:tcPr>
          <w:p>
            <w:pPr>
              <w:jc w:val="center"/>
            </w:pPr>
            <w:r>
              <w:rPr>
                <w:rFonts w:ascii="Times New Roman" w:hAnsi="Times New Roman"/>
                <w:sz w:val="18"/>
              </w:rPr>
              <w:t>—</w:t>
            </w:r>
          </w:p>
        </w:tc>
        <w:tc>
          <w:tcPr>
            <w:tcW w:type="dxa" w:w="2016"/>
          </w:tcPr>
          <w:p>
            <w:pPr>
              <w:jc w:val="center"/>
            </w:pPr>
            <w:r>
              <w:rPr>
                <w:rFonts w:ascii="Times New Roman" w:hAnsi="Times New Roman"/>
                <w:sz w:val="18"/>
              </w:rPr>
              <w:t>+0.12</w:t>
            </w:r>
          </w:p>
        </w:tc>
        <w:tc>
          <w:tcPr>
            <w:tcW w:type="dxa" w:w="2016"/>
          </w:tcPr>
          <w:p>
            <w:pPr>
              <w:jc w:val="center"/>
            </w:pPr>
            <w:r>
              <w:rPr>
                <w:rFonts w:ascii="Times New Roman" w:hAnsi="Times New Roman"/>
                <w:sz w:val="18"/>
              </w:rPr>
              <w:t>Chair-to-standing: transition boost</w:t>
            </w:r>
          </w:p>
        </w:tc>
      </w:tr>
      <w:tr>
        <w:tc>
          <w:tcPr>
            <w:tcW w:type="dxa" w:w="2016"/>
          </w:tcPr>
          <w:p>
            <w:pPr>
              <w:jc w:val="center"/>
            </w:pPr>
            <w:r>
              <w:rPr>
                <w:rFonts w:ascii="Times New Roman" w:hAnsi="Times New Roman"/>
                <w:sz w:val="18"/>
              </w:rPr>
              <w:t>CHAIR</w:t>
            </w:r>
          </w:p>
        </w:tc>
        <w:tc>
          <w:tcPr>
            <w:tcW w:type="dxa" w:w="2016"/>
          </w:tcPr>
          <w:p>
            <w:pPr>
              <w:jc w:val="center"/>
            </w:pPr>
            <w:r>
              <w:rPr>
                <w:rFonts w:ascii="Times New Roman" w:hAnsi="Times New Roman"/>
                <w:sz w:val="18"/>
              </w:rPr>
              <w:t>SITTING</w:t>
            </w:r>
          </w:p>
        </w:tc>
        <w:tc>
          <w:tcPr>
            <w:tcW w:type="dxa" w:w="2016"/>
          </w:tcPr>
          <w:p>
            <w:pPr>
              <w:jc w:val="center"/>
            </w:pPr>
            <w:r>
              <w:rPr>
                <w:rFonts w:ascii="Times New Roman" w:hAnsi="Times New Roman"/>
                <w:sz w:val="18"/>
              </w:rPr>
              <w:t>No significant lean</w:t>
            </w:r>
          </w:p>
        </w:tc>
        <w:tc>
          <w:tcPr>
            <w:tcW w:type="dxa" w:w="2016"/>
          </w:tcPr>
          <w:p>
            <w:pPr>
              <w:jc w:val="center"/>
            </w:pPr>
            <w:r>
              <w:rPr>
                <w:rFonts w:ascii="Times New Roman" w:hAnsi="Times New Roman"/>
                <w:sz w:val="18"/>
              </w:rPr>
              <w:t>+0.05</w:t>
            </w:r>
          </w:p>
        </w:tc>
        <w:tc>
          <w:tcPr>
            <w:tcW w:type="dxa" w:w="2016"/>
          </w:tcPr>
          <w:p>
            <w:pPr>
              <w:jc w:val="center"/>
            </w:pPr>
            <w:r>
              <w:rPr>
                <w:rFonts w:ascii="Times New Roman" w:hAnsi="Times New Roman"/>
                <w:sz w:val="18"/>
              </w:rPr>
              <w:t>Seated chair: baseline boost</w:t>
            </w:r>
          </w:p>
        </w:tc>
      </w:tr>
      <w:tr>
        <w:tc>
          <w:tcPr>
            <w:tcW w:type="dxa" w:w="2016"/>
          </w:tcPr>
          <w:p>
            <w:pPr>
              <w:jc w:val="center"/>
            </w:pPr>
            <w:r>
              <w:rPr>
                <w:rFonts w:ascii="Times New Roman" w:hAnsi="Times New Roman"/>
                <w:sz w:val="18"/>
              </w:rPr>
              <w:t>WALKING</w:t>
            </w:r>
          </w:p>
        </w:tc>
        <w:tc>
          <w:tcPr>
            <w:tcW w:type="dxa" w:w="2016"/>
          </w:tcPr>
          <w:p>
            <w:pPr>
              <w:jc w:val="center"/>
            </w:pPr>
            <w:r>
              <w:rPr>
                <w:rFonts w:ascii="Times New Roman" w:hAnsi="Times New Roman"/>
                <w:sz w:val="18"/>
              </w:rPr>
              <w:t>Any</w:t>
            </w:r>
          </w:p>
        </w:tc>
        <w:tc>
          <w:tcPr>
            <w:tcW w:type="dxa" w:w="2016"/>
          </w:tcPr>
          <w:p>
            <w:pPr>
              <w:jc w:val="center"/>
            </w:pPr>
            <w:r>
              <w:rPr>
                <w:rFonts w:ascii="Times New Roman" w:hAnsi="Times New Roman"/>
                <w:sz w:val="18"/>
              </w:rPr>
              <w:t>—</w:t>
            </w:r>
          </w:p>
        </w:tc>
        <w:tc>
          <w:tcPr>
            <w:tcW w:type="dxa" w:w="2016"/>
          </w:tcPr>
          <w:p>
            <w:pPr>
              <w:jc w:val="center"/>
            </w:pPr>
            <w:r>
              <w:rPr>
                <w:rFonts w:ascii="Times New Roman" w:hAnsi="Times New Roman"/>
                <w:sz w:val="18"/>
              </w:rPr>
              <w:t>+0.00</w:t>
            </w:r>
          </w:p>
        </w:tc>
        <w:tc>
          <w:tcPr>
            <w:tcW w:type="dxa" w:w="2016"/>
          </w:tcPr>
          <w:p>
            <w:pPr>
              <w:jc w:val="center"/>
            </w:pPr>
            <w:r>
              <w:rPr>
                <w:rFonts w:ascii="Times New Roman" w:hAnsi="Times New Roman"/>
                <w:sz w:val="18"/>
              </w:rPr>
              <w:t>Model already trained on walking falls</w:t>
            </w:r>
          </w:p>
        </w:tc>
      </w:tr>
    </w:tbl>
    <w:p/>
    <w:p>
      <w:pPr>
        <w:pStyle w:val="Heading3"/>
        <w:jc w:val="left"/>
      </w:pPr>
      <w:r>
        <w:rPr>
          <w:rFonts w:ascii="Times New Roman" w:hAnsi="Times New Roman"/>
          <w:color w:val="000000"/>
        </w:rPr>
        <w:t>I.  Post-Processing Stack for False Alarm Reduction</w:t>
      </w:r>
    </w:p>
    <w:p>
      <w:pPr>
        <w:spacing w:before="0" w:after="80"/>
        <w:ind w:firstLine="280"/>
        <w:jc w:val="both"/>
      </w:pPr>
      <w:r>
        <w:rPr>
          <w:rFonts w:ascii="Times New Roman" w:hAnsi="Times New Roman"/>
          <w:b w:val="0"/>
          <w:i w:val="0"/>
          <w:sz w:val="20"/>
        </w:rPr>
        <w:t>At 10 inference windows per second, a per-window false alarm rate of 4.41% (raw ST-GCN) generates approximately 2,640 false alerts per hour of monitoring—a rate that causes alert fatigue and caregiver disengagement within hours of deployment [11]. A four-layer temporal post-processing stack reduces this to near-zero operational rate.</w:t>
      </w:r>
    </w:p>
    <w:p>
      <w:pPr>
        <w:spacing w:after="80"/>
        <w:ind w:firstLine="280"/>
        <w:jc w:val="both"/>
      </w:pPr>
      <w:r>
        <w:rPr>
          <w:rFonts w:ascii="Times New Roman" w:hAnsi="Times New Roman"/>
          <w:b/>
          <w:i w:val="0"/>
          <w:sz w:val="20"/>
        </w:rPr>
        <w:t xml:space="preserve">Layer 1 — Exponential Moving Average (EMA) Smoothing. </w:t>
      </w:r>
      <w:r>
        <w:rPr>
          <w:rFonts w:ascii="Times New Roman" w:hAnsi="Times New Roman"/>
          <w:b w:val="0"/>
          <w:i w:val="0"/>
          <w:sz w:val="20"/>
        </w:rPr>
        <w:t>score_smooth[t] = 0.25 × score[t] + 0.75 × score_smooth[t-1]. Multiple consecutive elevated frames are required before the smoothed score reaches the HIGH threshold (EMA α=0.25), eliminating single-frame spikes caused by momentary pose estimation errors.</w:t>
      </w:r>
    </w:p>
    <w:p>
      <w:pPr>
        <w:spacing w:after="80"/>
        <w:ind w:firstLine="280"/>
        <w:jc w:val="both"/>
      </w:pPr>
      <w:r>
        <w:rPr>
          <w:rFonts w:ascii="Times New Roman" w:hAnsi="Times New Roman"/>
          <w:b/>
          <w:i w:val="0"/>
          <w:sz w:val="20"/>
        </w:rPr>
        <w:t xml:space="preserve">Layer 2 — Dwell Timer. </w:t>
      </w:r>
      <w:r>
        <w:rPr>
          <w:rFonts w:ascii="Times New Roman" w:hAnsi="Times New Roman"/>
          <w:b w:val="0"/>
          <w:i w:val="0"/>
          <w:sz w:val="20"/>
        </w:rPr>
        <w:t>A risk level change is only confirmed if the smoothed score remains above the level threshold for a minimum dwell period: 1.5 s to enter MODERATE, 0.5 s to enter HIGH, 3.0 s to return from HIGH to MODERATE, and 3.0 s to return to NORMAL. This prevents transient posture changes from generating spurious HIGH alerts.</w:t>
      </w:r>
    </w:p>
    <w:p>
      <w:pPr>
        <w:spacing w:after="80"/>
        <w:ind w:firstLine="280"/>
        <w:jc w:val="both"/>
      </w:pPr>
      <w:r>
        <w:rPr>
          <w:rFonts w:ascii="Times New Roman" w:hAnsi="Times New Roman"/>
          <w:b/>
          <w:i w:val="0"/>
          <w:sz w:val="20"/>
        </w:rPr>
        <w:t xml:space="preserve">Layer 3 — Alert Cooldown. </w:t>
      </w:r>
      <w:r>
        <w:rPr>
          <w:rFonts w:ascii="Times New Roman" w:hAnsi="Times New Roman"/>
          <w:b w:val="0"/>
          <w:i w:val="0"/>
          <w:sz w:val="20"/>
        </w:rPr>
        <w:t>A 20-second cooldown suppresses additional alerts after a HIGH alert fires, preventing a single fall event from generating repeated alerts while the patient lies on the floor.</w:t>
      </w:r>
    </w:p>
    <w:p>
      <w:pPr>
        <w:spacing w:after="80"/>
        <w:ind w:firstLine="280"/>
        <w:jc w:val="both"/>
      </w:pPr>
      <w:r>
        <w:rPr>
          <w:rFonts w:ascii="Times New Roman" w:hAnsi="Times New Roman"/>
          <w:b/>
          <w:i w:val="0"/>
          <w:sz w:val="20"/>
        </w:rPr>
        <w:t xml:space="preserve">Layer 4 — Zone-Aware Modifier. </w:t>
      </w:r>
      <w:r>
        <w:rPr>
          <w:rFonts w:ascii="Times New Roman" w:hAnsi="Times New Roman"/>
          <w:b w:val="0"/>
          <w:i w:val="0"/>
          <w:sz w:val="20"/>
        </w:rPr>
        <w:t>Applied before Layer 1 so that zone-boosted scores enter the EMA smoothing, preserving temporal coherence of the adjusted risk signal. The combined four-layer stack reduces operational false alarm rate from 4.41% (raw ST-GCN) to 0.70% (fusion + post-processing) while maintaining 95.24% sensitivity.</w:t>
      </w:r>
    </w:p>
    <w:p>
      <w:pPr>
        <w:pStyle w:val="Heading3"/>
        <w:jc w:val="left"/>
      </w:pPr>
      <w:r>
        <w:rPr>
          <w:rFonts w:ascii="Times New Roman" w:hAnsi="Times New Roman"/>
          <w:color w:val="000000"/>
        </w:rPr>
        <w:t>J.  Explainability and Clinical Interpretability</w:t>
      </w:r>
    </w:p>
    <w:p>
      <w:pPr>
        <w:spacing w:before="0" w:after="120"/>
        <w:ind w:firstLine="280"/>
        <w:jc w:val="both"/>
      </w:pPr>
      <w:r>
        <w:rPr>
          <w:rFonts w:ascii="Times New Roman" w:hAnsi="Times New Roman"/>
          <w:b w:val="0"/>
          <w:i w:val="0"/>
          <w:sz w:val="20"/>
        </w:rPr>
        <w:t>Although the ST-GCN produces a non-interpretable latent embedding, the feature branch provides per-inference explainability through a lightweight z-score attribution method. At each inference window, each of the 18 features is normalised by its training-set mean and standard deviation; features whose z-score exceeds 1.5 standard deviations from the NORMAL-class mean are flagged as contributing factors. The five features with the highest z-score are displayed on the supervisor dashboard with human-readable labels (e.g., 'peak vertical acceleration', 'torso angular velocity', 'ground proximity') and directional indicators. This approach satisfies real-time constraints (&lt; 0.1 ms per inference window) while providing clinically interpretable outputs that enable caregivers to understand why the system is raising an alert—a requirement for clinical trust and regulatory acceptance of AI-assisted monitoring systems [22]. Offline SHAP-based post-hoc explanation is identified as a direction for future work.</w:t>
      </w:r>
    </w:p>
    <w:p>
      <w:pPr>
        <w:pStyle w:val="Heading3"/>
        <w:jc w:val="left"/>
      </w:pPr>
      <w:r>
        <w:rPr>
          <w:rFonts w:ascii="Times New Roman" w:hAnsi="Times New Roman"/>
          <w:color w:val="000000"/>
        </w:rPr>
        <w:t>K.  System Integration and Edge Deployment</w:t>
      </w:r>
    </w:p>
    <w:p>
      <w:pPr>
        <w:spacing w:before="0" w:after="120"/>
        <w:ind w:firstLine="280"/>
        <w:jc w:val="both"/>
      </w:pPr>
      <w:r>
        <w:rPr>
          <w:rFonts w:ascii="Times New Roman" w:hAnsi="Times New Roman"/>
          <w:b w:val="0"/>
          <w:i w:val="0"/>
          <w:sz w:val="20"/>
        </w:rPr>
        <w:t>The inference engine runs as a background thread feeding a FastAPI WebSocket server. The end-to-end pipeline is: USB Camera → MediaPipe (per frame) → Ring Buffer (90 frames) → Every 3 frames: Preprocessing → ST-GCN → Feature Extraction (18 features) → Late Fusion → Context Engine → Post-Processing → WebSocket broadcast to supervisor dashboard. The system architecture supports multi-room deployment; the CareSense database and API maintain separate room, patient, and alert records per room with no structural cap on room count. Total mean inference latency of 5.55 ms is measured over 100 runs on CPU-only hardware (no GPU), confirming 180.1 windows/s—a 16× headroom margin above the 10 windows/s required for real-time 30 FPS operation. Patient privacy is preserved: raw video frames are never stored to disk; only normalised skeleton coordinate tensors are retained.</w:t>
      </w:r>
    </w:p>
    <w:p>
      <w:pPr>
        <w:pStyle w:val="Heading2"/>
        <w:jc w:val="left"/>
      </w:pPr>
      <w:r>
        <w:rPr>
          <w:rFonts w:ascii="Times New Roman" w:hAnsi="Times New Roman"/>
          <w:color w:val="000000"/>
        </w:rPr>
        <w:t>III.  Experimental Results</w:t>
      </w:r>
    </w:p>
    <w:p>
      <w:pPr>
        <w:pStyle w:val="Heading3"/>
        <w:jc w:val="left"/>
      </w:pPr>
      <w:r>
        <w:rPr>
          <w:rFonts w:ascii="Times New Roman" w:hAnsi="Times New Roman"/>
          <w:color w:val="000000"/>
        </w:rPr>
        <w:t>A.  Ablation Study — NTU RGB+D + UR Fall Detection Benchmark</w:t>
      </w:r>
    </w:p>
    <w:p>
      <w:pPr>
        <w:spacing w:before="0" w:after="80"/>
        <w:ind w:firstLine="280"/>
        <w:jc w:val="both"/>
      </w:pPr>
      <w:r>
        <w:rPr>
          <w:rFonts w:ascii="Times New Roman" w:hAnsi="Times New Roman"/>
          <w:b w:val="0"/>
          <w:i w:val="0"/>
          <w:sz w:val="20"/>
        </w:rPr>
        <w:t>Table III presents the three-way ablation study on the combined NTU+UR test set (578 clips). All models share identical preprocessing, splits, and evaluation procedure.</w:t>
      </w:r>
    </w:p>
    <w:p>
      <w:pPr>
        <w:spacing w:before="120" w:after="80"/>
        <w:jc w:val="center"/>
      </w:pPr>
      <w:r>
        <w:rPr>
          <w:rFonts w:ascii="Times New Roman" w:hAnsi="Times New Roman"/>
          <w:b/>
          <w:sz w:val="18"/>
        </w:rPr>
        <w:t>TABLE III — ABLATION STUDY ON COMBINED NTU RGB+D + UR FALL DETECTION TEST SET (578 CLIPS)</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tcPr>
          <w:p>
            <w:pPr>
              <w:jc w:val="center"/>
            </w:pPr>
            <w:r>
              <w:rPr>
                <w:rFonts w:ascii="Times New Roman" w:hAnsi="Times New Roman"/>
                <w:b/>
                <w:sz w:val="16"/>
              </w:rPr>
              <w:t>Model</w:t>
            </w:r>
          </w:p>
        </w:tc>
        <w:tc>
          <w:tcPr>
            <w:tcW w:type="dxa" w:w="1120"/>
            <w:vAlign w:val="center"/>
          </w:tcPr>
          <w:p>
            <w:pPr>
              <w:jc w:val="center"/>
            </w:pPr>
            <w:r>
              <w:rPr>
                <w:rFonts w:ascii="Times New Roman" w:hAnsi="Times New Roman"/>
                <w:b/>
                <w:sz w:val="16"/>
              </w:rPr>
              <w:t>Split</w:t>
            </w:r>
          </w:p>
        </w:tc>
        <w:tc>
          <w:tcPr>
            <w:tcW w:type="dxa" w:w="1120"/>
            <w:vAlign w:val="center"/>
          </w:tcPr>
          <w:p>
            <w:pPr>
              <w:jc w:val="center"/>
            </w:pPr>
            <w:r>
              <w:rPr>
                <w:rFonts w:ascii="Times New Roman" w:hAnsi="Times New Roman"/>
                <w:b/>
                <w:sz w:val="16"/>
              </w:rPr>
              <w:t>Accuracy</w:t>
            </w:r>
          </w:p>
        </w:tc>
        <w:tc>
          <w:tcPr>
            <w:tcW w:type="dxa" w:w="1120"/>
            <w:vAlign w:val="center"/>
          </w:tcPr>
          <w:p>
            <w:pPr>
              <w:jc w:val="center"/>
            </w:pPr>
            <w:r>
              <w:rPr>
                <w:rFonts w:ascii="Times New Roman" w:hAnsi="Times New Roman"/>
                <w:b/>
                <w:sz w:val="16"/>
              </w:rPr>
              <w:t>Sensitivity</w:t>
            </w:r>
          </w:p>
        </w:tc>
        <w:tc>
          <w:tcPr>
            <w:tcW w:type="dxa" w:w="1120"/>
            <w:vAlign w:val="center"/>
          </w:tcPr>
          <w:p>
            <w:pPr>
              <w:jc w:val="center"/>
            </w:pPr>
            <w:r>
              <w:rPr>
                <w:rFonts w:ascii="Times New Roman" w:hAnsi="Times New Roman"/>
                <w:b/>
                <w:sz w:val="16"/>
              </w:rPr>
              <w:t>Precision</w:t>
            </w:r>
          </w:p>
        </w:tc>
        <w:tc>
          <w:tcPr>
            <w:tcW w:type="dxa" w:w="1120"/>
            <w:vAlign w:val="center"/>
          </w:tcPr>
          <w:p>
            <w:pPr>
              <w:jc w:val="center"/>
            </w:pPr>
            <w:r>
              <w:rPr>
                <w:rFonts w:ascii="Times New Roman" w:hAnsi="Times New Roman"/>
                <w:b/>
                <w:sz w:val="16"/>
              </w:rPr>
              <w:t>Macro-F1</w:t>
            </w:r>
          </w:p>
        </w:tc>
        <w:tc>
          <w:tcPr>
            <w:tcW w:type="dxa" w:w="1120"/>
            <w:vAlign w:val="center"/>
          </w:tcPr>
          <w:p>
            <w:pPr>
              <w:jc w:val="center"/>
            </w:pPr>
            <w:r>
              <w:rPr>
                <w:rFonts w:ascii="Times New Roman" w:hAnsi="Times New Roman"/>
                <w:b/>
                <w:sz w:val="16"/>
              </w:rPr>
              <w:t>FAR</w:t>
            </w:r>
          </w:p>
        </w:tc>
        <w:tc>
          <w:tcPr>
            <w:tcW w:type="dxa" w:w="1120"/>
            <w:vAlign w:val="center"/>
          </w:tcPr>
          <w:p>
            <w:pPr>
              <w:jc w:val="center"/>
            </w:pPr>
            <w:r>
              <w:rPr>
                <w:rFonts w:ascii="Times New Roman" w:hAnsi="Times New Roman"/>
                <w:b/>
                <w:sz w:val="16"/>
              </w:rPr>
              <w:t>ROC-AUC</w:t>
            </w:r>
          </w:p>
        </w:tc>
        <w:tc>
          <w:tcPr>
            <w:tcW w:type="dxa" w:w="1120"/>
            <w:vAlign w:val="center"/>
          </w:tcPr>
          <w:p>
            <w:pPr>
              <w:jc w:val="center"/>
            </w:pPr>
            <w:r>
              <w:rPr>
                <w:rFonts w:ascii="Times New Roman" w:hAnsi="Times New Roman"/>
                <w:b/>
                <w:sz w:val="16"/>
              </w:rPr>
              <w:t>PR-AUC</w:t>
            </w:r>
          </w:p>
        </w:tc>
      </w:tr>
      <w:tr>
        <w:tc>
          <w:tcPr>
            <w:tcW w:type="dxa" w:w="1120"/>
          </w:tcPr>
          <w:p>
            <w:pPr>
              <w:jc w:val="center"/>
            </w:pPr>
            <w:r>
              <w:rPr>
                <w:rFonts w:ascii="Times New Roman" w:hAnsi="Times New Roman"/>
                <w:sz w:val="16"/>
              </w:rPr>
              <w:t>ST-GCN only</w:t>
            </w:r>
          </w:p>
        </w:tc>
        <w:tc>
          <w:tcPr>
            <w:tcW w:type="dxa" w:w="1120"/>
          </w:tcPr>
          <w:p>
            <w:pPr>
              <w:jc w:val="center"/>
            </w:pPr>
            <w:r>
              <w:rPr>
                <w:rFonts w:ascii="Times New Roman" w:hAnsi="Times New Roman"/>
                <w:sz w:val="16"/>
              </w:rPr>
              <w:t>Random (80/10/10)</w:t>
            </w:r>
          </w:p>
        </w:tc>
        <w:tc>
          <w:tcPr>
            <w:tcW w:type="dxa" w:w="1120"/>
          </w:tcPr>
          <w:p>
            <w:pPr>
              <w:jc w:val="center"/>
            </w:pPr>
            <w:r>
              <w:rPr>
                <w:rFonts w:ascii="Times New Roman" w:hAnsi="Times New Roman"/>
                <w:sz w:val="16"/>
              </w:rPr>
              <w:t>96.02%</w:t>
            </w:r>
          </w:p>
        </w:tc>
        <w:tc>
          <w:tcPr>
            <w:tcW w:type="dxa" w:w="1120"/>
          </w:tcPr>
          <w:p>
            <w:pPr>
              <w:jc w:val="center"/>
            </w:pPr>
            <w:r>
              <w:rPr>
                <w:rFonts w:ascii="Times New Roman" w:hAnsi="Times New Roman"/>
                <w:sz w:val="16"/>
              </w:rPr>
              <w:t>97.28%</w:t>
            </w:r>
          </w:p>
        </w:tc>
        <w:tc>
          <w:tcPr>
            <w:tcW w:type="dxa" w:w="1120"/>
          </w:tcPr>
          <w:p>
            <w:pPr>
              <w:jc w:val="center"/>
            </w:pPr>
            <w:r>
              <w:rPr>
                <w:rFonts w:ascii="Times New Roman" w:hAnsi="Times New Roman"/>
                <w:sz w:val="16"/>
              </w:rPr>
              <w:t>88.27%</w:t>
            </w:r>
          </w:p>
        </w:tc>
        <w:tc>
          <w:tcPr>
            <w:tcW w:type="dxa" w:w="1120"/>
          </w:tcPr>
          <w:p>
            <w:pPr>
              <w:jc w:val="center"/>
            </w:pPr>
            <w:r>
              <w:rPr>
                <w:rFonts w:ascii="Times New Roman" w:hAnsi="Times New Roman"/>
                <w:sz w:val="16"/>
              </w:rPr>
              <w:t>92.56%</w:t>
            </w:r>
          </w:p>
        </w:tc>
        <w:tc>
          <w:tcPr>
            <w:tcW w:type="dxa" w:w="1120"/>
          </w:tcPr>
          <w:p>
            <w:pPr>
              <w:jc w:val="center"/>
            </w:pPr>
            <w:r>
              <w:rPr>
                <w:rFonts w:ascii="Times New Roman" w:hAnsi="Times New Roman"/>
                <w:sz w:val="16"/>
              </w:rPr>
              <w:t>4.41%</w:t>
            </w:r>
          </w:p>
        </w:tc>
        <w:tc>
          <w:tcPr>
            <w:tcW w:type="dxa" w:w="1120"/>
          </w:tcPr>
          <w:p>
            <w:pPr>
              <w:jc w:val="center"/>
            </w:pPr>
            <w:r>
              <w:rPr>
                <w:rFonts w:ascii="Times New Roman" w:hAnsi="Times New Roman"/>
                <w:sz w:val="16"/>
              </w:rPr>
              <w:t>0.9886</w:t>
            </w:r>
          </w:p>
        </w:tc>
        <w:tc>
          <w:tcPr>
            <w:tcW w:type="dxa" w:w="1120"/>
          </w:tcPr>
          <w:p>
            <w:pPr>
              <w:jc w:val="center"/>
            </w:pPr>
            <w:r>
              <w:rPr>
                <w:rFonts w:ascii="Times New Roman" w:hAnsi="Times New Roman"/>
                <w:sz w:val="16"/>
              </w:rPr>
              <w:t>0.9674</w:t>
            </w:r>
          </w:p>
        </w:tc>
      </w:tr>
      <w:tr>
        <w:tc>
          <w:tcPr>
            <w:tcW w:type="dxa" w:w="1120"/>
          </w:tcPr>
          <w:p>
            <w:pPr>
              <w:jc w:val="center"/>
            </w:pPr>
            <w:r>
              <w:rPr>
                <w:rFonts w:ascii="Times New Roman" w:hAnsi="Times New Roman"/>
                <w:sz w:val="16"/>
              </w:rPr>
              <w:t>Features only</w:t>
            </w:r>
          </w:p>
        </w:tc>
        <w:tc>
          <w:tcPr>
            <w:tcW w:type="dxa" w:w="1120"/>
          </w:tcPr>
          <w:p>
            <w:pPr>
              <w:jc w:val="center"/>
            </w:pPr>
            <w:r>
              <w:rPr>
                <w:rFonts w:ascii="Times New Roman" w:hAnsi="Times New Roman"/>
                <w:sz w:val="16"/>
              </w:rPr>
              <w:t>Random (80/10/10)</w:t>
            </w:r>
          </w:p>
        </w:tc>
        <w:tc>
          <w:tcPr>
            <w:tcW w:type="dxa" w:w="1120"/>
          </w:tcPr>
          <w:p>
            <w:pPr>
              <w:jc w:val="center"/>
            </w:pPr>
            <w:r>
              <w:rPr>
                <w:rFonts w:ascii="Times New Roman" w:hAnsi="Times New Roman"/>
                <w:sz w:val="16"/>
              </w:rPr>
              <w:t>94.98%</w:t>
            </w:r>
          </w:p>
        </w:tc>
        <w:tc>
          <w:tcPr>
            <w:tcW w:type="dxa" w:w="1120"/>
          </w:tcPr>
          <w:p>
            <w:pPr>
              <w:jc w:val="center"/>
            </w:pPr>
            <w:r>
              <w:rPr>
                <w:rFonts w:ascii="Times New Roman" w:hAnsi="Times New Roman"/>
                <w:sz w:val="16"/>
              </w:rPr>
              <w:t>92.52%</w:t>
            </w:r>
          </w:p>
        </w:tc>
        <w:tc>
          <w:tcPr>
            <w:tcW w:type="dxa" w:w="1120"/>
          </w:tcPr>
          <w:p>
            <w:pPr>
              <w:jc w:val="center"/>
            </w:pPr>
            <w:r>
              <w:rPr>
                <w:rFonts w:ascii="Times New Roman" w:hAnsi="Times New Roman"/>
                <w:sz w:val="16"/>
              </w:rPr>
              <w:t>88.31%</w:t>
            </w:r>
          </w:p>
        </w:tc>
        <w:tc>
          <w:tcPr>
            <w:tcW w:type="dxa" w:w="1120"/>
          </w:tcPr>
          <w:p>
            <w:pPr>
              <w:jc w:val="center"/>
            </w:pPr>
            <w:r>
              <w:rPr>
                <w:rFonts w:ascii="Times New Roman" w:hAnsi="Times New Roman"/>
                <w:sz w:val="16"/>
              </w:rPr>
              <w:t>90.37%</w:t>
            </w:r>
          </w:p>
        </w:tc>
        <w:tc>
          <w:tcPr>
            <w:tcW w:type="dxa" w:w="1120"/>
          </w:tcPr>
          <w:p>
            <w:pPr>
              <w:jc w:val="center"/>
            </w:pPr>
            <w:r>
              <w:rPr>
                <w:rFonts w:ascii="Times New Roman" w:hAnsi="Times New Roman"/>
                <w:sz w:val="16"/>
              </w:rPr>
              <w:t>4.17%</w:t>
            </w:r>
          </w:p>
        </w:tc>
        <w:tc>
          <w:tcPr>
            <w:tcW w:type="dxa" w:w="1120"/>
          </w:tcPr>
          <w:p>
            <w:pPr>
              <w:jc w:val="center"/>
            </w:pPr>
            <w:r>
              <w:rPr>
                <w:rFonts w:ascii="Times New Roman" w:hAnsi="Times New Roman"/>
                <w:sz w:val="16"/>
              </w:rPr>
              <w:t>0.9865</w:t>
            </w:r>
          </w:p>
        </w:tc>
        <w:tc>
          <w:tcPr>
            <w:tcW w:type="dxa" w:w="1120"/>
          </w:tcPr>
          <w:p>
            <w:pPr>
              <w:jc w:val="center"/>
            </w:pPr>
            <w:r>
              <w:rPr>
                <w:rFonts w:ascii="Times New Roman" w:hAnsi="Times New Roman"/>
                <w:sz w:val="16"/>
              </w:rPr>
              <w:t>0.9688</w:t>
            </w:r>
          </w:p>
        </w:tc>
      </w:tr>
      <w:tr>
        <w:tc>
          <w:tcPr>
            <w:tcW w:type="dxa" w:w="1120"/>
          </w:tcPr>
          <w:p>
            <w:pPr>
              <w:jc w:val="center"/>
            </w:pPr>
            <w:r>
              <w:rPr>
                <w:rFonts w:ascii="Times New Roman" w:hAnsi="Times New Roman"/>
                <w:sz w:val="16"/>
              </w:rPr>
              <w:t>Fusion (proposed)</w:t>
            </w:r>
          </w:p>
        </w:tc>
        <w:tc>
          <w:tcPr>
            <w:tcW w:type="dxa" w:w="1120"/>
          </w:tcPr>
          <w:p>
            <w:pPr>
              <w:jc w:val="center"/>
            </w:pPr>
            <w:r>
              <w:rPr>
                <w:rFonts w:ascii="Times New Roman" w:hAnsi="Times New Roman"/>
                <w:sz w:val="16"/>
              </w:rPr>
              <w:t>Random (80/10/10)</w:t>
            </w:r>
          </w:p>
        </w:tc>
        <w:tc>
          <w:tcPr>
            <w:tcW w:type="dxa" w:w="1120"/>
          </w:tcPr>
          <w:p>
            <w:pPr>
              <w:jc w:val="center"/>
            </w:pPr>
            <w:r>
              <w:rPr>
                <w:rFonts w:ascii="Times New Roman" w:hAnsi="Times New Roman"/>
                <w:sz w:val="16"/>
              </w:rPr>
              <w:t>98.27%</w:t>
            </w:r>
          </w:p>
        </w:tc>
        <w:tc>
          <w:tcPr>
            <w:tcW w:type="dxa" w:w="1120"/>
          </w:tcPr>
          <w:p>
            <w:pPr>
              <w:jc w:val="center"/>
            </w:pPr>
            <w:r>
              <w:rPr>
                <w:rFonts w:ascii="Times New Roman" w:hAnsi="Times New Roman"/>
                <w:sz w:val="16"/>
              </w:rPr>
              <w:t>95.24%</w:t>
            </w:r>
          </w:p>
        </w:tc>
        <w:tc>
          <w:tcPr>
            <w:tcW w:type="dxa" w:w="1120"/>
          </w:tcPr>
          <w:p>
            <w:pPr>
              <w:jc w:val="center"/>
            </w:pPr>
            <w:r>
              <w:rPr>
                <w:rFonts w:ascii="Times New Roman" w:hAnsi="Times New Roman"/>
                <w:sz w:val="16"/>
              </w:rPr>
              <w:t>97.90%</w:t>
            </w:r>
          </w:p>
        </w:tc>
        <w:tc>
          <w:tcPr>
            <w:tcW w:type="dxa" w:w="1120"/>
          </w:tcPr>
          <w:p>
            <w:pPr>
              <w:jc w:val="center"/>
            </w:pPr>
            <w:r>
              <w:rPr>
                <w:rFonts w:ascii="Times New Roman" w:hAnsi="Times New Roman"/>
                <w:sz w:val="16"/>
              </w:rPr>
              <w:t>96.55%</w:t>
            </w:r>
          </w:p>
        </w:tc>
        <w:tc>
          <w:tcPr>
            <w:tcW w:type="dxa" w:w="1120"/>
          </w:tcPr>
          <w:p>
            <w:pPr>
              <w:jc w:val="center"/>
            </w:pPr>
            <w:r>
              <w:rPr>
                <w:rFonts w:ascii="Times New Roman" w:hAnsi="Times New Roman"/>
                <w:sz w:val="16"/>
              </w:rPr>
              <w:t>0.70%</w:t>
            </w:r>
          </w:p>
        </w:tc>
        <w:tc>
          <w:tcPr>
            <w:tcW w:type="dxa" w:w="1120"/>
          </w:tcPr>
          <w:p>
            <w:pPr>
              <w:jc w:val="center"/>
            </w:pPr>
            <w:r>
              <w:rPr>
                <w:rFonts w:ascii="Times New Roman" w:hAnsi="Times New Roman"/>
                <w:sz w:val="16"/>
              </w:rPr>
              <w:t>0.9926</w:t>
            </w:r>
          </w:p>
        </w:tc>
        <w:tc>
          <w:tcPr>
            <w:tcW w:type="dxa" w:w="1120"/>
          </w:tcPr>
          <w:p>
            <w:pPr>
              <w:jc w:val="center"/>
            </w:pPr>
            <w:r>
              <w:rPr>
                <w:rFonts w:ascii="Times New Roman" w:hAnsi="Times New Roman"/>
                <w:sz w:val="16"/>
              </w:rPr>
              <w:t>0.9922</w:t>
            </w:r>
          </w:p>
        </w:tc>
      </w:tr>
      <w:tr>
        <w:tc>
          <w:tcPr>
            <w:tcW w:type="dxa" w:w="1120"/>
          </w:tcPr>
          <w:p>
            <w:pPr>
              <w:jc w:val="center"/>
            </w:pPr>
            <w:r>
              <w:rPr>
                <w:rFonts w:ascii="Times New Roman" w:hAnsi="Times New Roman"/>
                <w:sz w:val="16"/>
              </w:rPr>
              <w:t>ST-GCN only</w:t>
            </w:r>
          </w:p>
        </w:tc>
        <w:tc>
          <w:tcPr>
            <w:tcW w:type="dxa" w:w="1120"/>
          </w:tcPr>
          <w:p>
            <w:pPr>
              <w:jc w:val="center"/>
            </w:pPr>
            <w:r>
              <w:rPr>
                <w:rFonts w:ascii="Times New Roman" w:hAnsi="Times New Roman"/>
                <w:sz w:val="16"/>
              </w:rPr>
              <w:t>Subject-disjoint</w:t>
            </w:r>
          </w:p>
        </w:tc>
        <w:tc>
          <w:tcPr>
            <w:tcW w:type="dxa" w:w="1120"/>
          </w:tcPr>
          <w:p>
            <w:pPr>
              <w:jc w:val="center"/>
            </w:pPr>
            <w:r>
              <w:rPr>
                <w:rFonts w:ascii="Times New Roman" w:hAnsi="Times New Roman"/>
                <w:sz w:val="16"/>
              </w:rPr>
              <w:t>95.51%</w:t>
            </w:r>
          </w:p>
        </w:tc>
        <w:tc>
          <w:tcPr>
            <w:tcW w:type="dxa" w:w="1120"/>
          </w:tcPr>
          <w:p>
            <w:pPr>
              <w:jc w:val="center"/>
            </w:pPr>
            <w:r>
              <w:rPr>
                <w:rFonts w:ascii="Times New Roman" w:hAnsi="Times New Roman"/>
                <w:sz w:val="16"/>
              </w:rPr>
              <w:t>92.31%</w:t>
            </w:r>
          </w:p>
        </w:tc>
        <w:tc>
          <w:tcPr>
            <w:tcW w:type="dxa" w:w="1120"/>
          </w:tcPr>
          <w:p>
            <w:pPr>
              <w:jc w:val="center"/>
            </w:pPr>
            <w:r>
              <w:rPr>
                <w:rFonts w:ascii="Times New Roman" w:hAnsi="Times New Roman"/>
                <w:sz w:val="16"/>
              </w:rPr>
              <w:t>90.00%</w:t>
            </w:r>
          </w:p>
        </w:tc>
        <w:tc>
          <w:tcPr>
            <w:tcW w:type="dxa" w:w="1120"/>
          </w:tcPr>
          <w:p>
            <w:pPr>
              <w:jc w:val="center"/>
            </w:pPr>
            <w:r>
              <w:rPr>
                <w:rFonts w:ascii="Times New Roman" w:hAnsi="Times New Roman"/>
                <w:sz w:val="16"/>
              </w:rPr>
              <w:t>94.07%</w:t>
            </w:r>
          </w:p>
        </w:tc>
        <w:tc>
          <w:tcPr>
            <w:tcW w:type="dxa" w:w="1120"/>
          </w:tcPr>
          <w:p>
            <w:pPr>
              <w:jc w:val="center"/>
            </w:pPr>
            <w:r>
              <w:rPr>
                <w:rFonts w:ascii="Times New Roman" w:hAnsi="Times New Roman"/>
                <w:sz w:val="16"/>
              </w:rPr>
              <w:t>3.42%</w:t>
            </w:r>
          </w:p>
        </w:tc>
        <w:tc>
          <w:tcPr>
            <w:tcW w:type="dxa" w:w="1120"/>
          </w:tcPr>
          <w:p>
            <w:pPr>
              <w:jc w:val="center"/>
            </w:pPr>
            <w:r>
              <w:rPr>
                <w:rFonts w:ascii="Times New Roman" w:hAnsi="Times New Roman"/>
                <w:sz w:val="16"/>
              </w:rPr>
              <w:t>0.9780</w:t>
            </w:r>
          </w:p>
        </w:tc>
        <w:tc>
          <w:tcPr>
            <w:tcW w:type="dxa" w:w="1120"/>
          </w:tcPr>
          <w:p>
            <w:pPr>
              <w:jc w:val="center"/>
            </w:pPr>
            <w:r>
              <w:rPr>
                <w:rFonts w:ascii="Times New Roman" w:hAnsi="Times New Roman"/>
                <w:sz w:val="16"/>
              </w:rPr>
              <w:t>0.9540</w:t>
            </w:r>
          </w:p>
        </w:tc>
      </w:tr>
      <w:tr>
        <w:tc>
          <w:tcPr>
            <w:tcW w:type="dxa" w:w="1120"/>
          </w:tcPr>
          <w:p>
            <w:pPr>
              <w:jc w:val="center"/>
            </w:pPr>
            <w:r>
              <w:rPr>
                <w:rFonts w:ascii="Times New Roman" w:hAnsi="Times New Roman"/>
                <w:sz w:val="16"/>
              </w:rPr>
              <w:t>Features only</w:t>
            </w:r>
          </w:p>
        </w:tc>
        <w:tc>
          <w:tcPr>
            <w:tcW w:type="dxa" w:w="1120"/>
          </w:tcPr>
          <w:p>
            <w:pPr>
              <w:jc w:val="center"/>
            </w:pPr>
            <w:r>
              <w:rPr>
                <w:rFonts w:ascii="Times New Roman" w:hAnsi="Times New Roman"/>
                <w:sz w:val="16"/>
              </w:rPr>
              <w:t>Subject-disjoint</w:t>
            </w:r>
          </w:p>
        </w:tc>
        <w:tc>
          <w:tcPr>
            <w:tcW w:type="dxa" w:w="1120"/>
          </w:tcPr>
          <w:p>
            <w:pPr>
              <w:jc w:val="center"/>
            </w:pPr>
            <w:r>
              <w:rPr>
                <w:rFonts w:ascii="Times New Roman" w:hAnsi="Times New Roman"/>
                <w:sz w:val="16"/>
              </w:rPr>
              <w:t>96.47%</w:t>
            </w:r>
          </w:p>
        </w:tc>
        <w:tc>
          <w:tcPr>
            <w:tcW w:type="dxa" w:w="1120"/>
          </w:tcPr>
          <w:p>
            <w:pPr>
              <w:jc w:val="center"/>
            </w:pPr>
            <w:r>
              <w:rPr>
                <w:rFonts w:ascii="Times New Roman" w:hAnsi="Times New Roman"/>
                <w:sz w:val="16"/>
              </w:rPr>
              <w:t>94.87%</w:t>
            </w:r>
          </w:p>
        </w:tc>
        <w:tc>
          <w:tcPr>
            <w:tcW w:type="dxa" w:w="1120"/>
          </w:tcPr>
          <w:p>
            <w:pPr>
              <w:jc w:val="center"/>
            </w:pPr>
            <w:r>
              <w:rPr>
                <w:rFonts w:ascii="Times New Roman" w:hAnsi="Times New Roman"/>
                <w:sz w:val="16"/>
              </w:rPr>
              <w:t>91.36%</w:t>
            </w:r>
          </w:p>
        </w:tc>
        <w:tc>
          <w:tcPr>
            <w:tcW w:type="dxa" w:w="1120"/>
          </w:tcPr>
          <w:p>
            <w:pPr>
              <w:jc w:val="center"/>
            </w:pPr>
            <w:r>
              <w:rPr>
                <w:rFonts w:ascii="Times New Roman" w:hAnsi="Times New Roman"/>
                <w:sz w:val="16"/>
              </w:rPr>
              <w:t>95.36%</w:t>
            </w:r>
          </w:p>
        </w:tc>
        <w:tc>
          <w:tcPr>
            <w:tcW w:type="dxa" w:w="1120"/>
          </w:tcPr>
          <w:p>
            <w:pPr>
              <w:jc w:val="center"/>
            </w:pPr>
            <w:r>
              <w:rPr>
                <w:rFonts w:ascii="Times New Roman" w:hAnsi="Times New Roman"/>
                <w:sz w:val="16"/>
              </w:rPr>
              <w:t>2.99%</w:t>
            </w:r>
          </w:p>
        </w:tc>
        <w:tc>
          <w:tcPr>
            <w:tcW w:type="dxa" w:w="1120"/>
          </w:tcPr>
          <w:p>
            <w:pPr>
              <w:jc w:val="center"/>
            </w:pPr>
            <w:r>
              <w:rPr>
                <w:rFonts w:ascii="Times New Roman" w:hAnsi="Times New Roman"/>
                <w:sz w:val="16"/>
              </w:rPr>
              <w:t>0.9905</w:t>
            </w:r>
          </w:p>
        </w:tc>
        <w:tc>
          <w:tcPr>
            <w:tcW w:type="dxa" w:w="1120"/>
          </w:tcPr>
          <w:p>
            <w:pPr>
              <w:jc w:val="center"/>
            </w:pPr>
            <w:r>
              <w:rPr>
                <w:rFonts w:ascii="Times New Roman" w:hAnsi="Times New Roman"/>
                <w:sz w:val="16"/>
              </w:rPr>
              <w:t>0.9778</w:t>
            </w:r>
          </w:p>
        </w:tc>
      </w:tr>
      <w:tr>
        <w:tc>
          <w:tcPr>
            <w:tcW w:type="dxa" w:w="1120"/>
          </w:tcPr>
          <w:p>
            <w:pPr>
              <w:jc w:val="center"/>
            </w:pPr>
            <w:r>
              <w:rPr>
                <w:rFonts w:ascii="Times New Roman" w:hAnsi="Times New Roman"/>
                <w:sz w:val="16"/>
              </w:rPr>
              <w:t>Fusion (proposed)</w:t>
            </w:r>
          </w:p>
        </w:tc>
        <w:tc>
          <w:tcPr>
            <w:tcW w:type="dxa" w:w="1120"/>
          </w:tcPr>
          <w:p>
            <w:pPr>
              <w:jc w:val="center"/>
            </w:pPr>
            <w:r>
              <w:rPr>
                <w:rFonts w:ascii="Times New Roman" w:hAnsi="Times New Roman"/>
                <w:sz w:val="16"/>
              </w:rPr>
              <w:t>Subject-disjoint</w:t>
            </w:r>
          </w:p>
        </w:tc>
        <w:tc>
          <w:tcPr>
            <w:tcW w:type="dxa" w:w="1120"/>
          </w:tcPr>
          <w:p>
            <w:pPr>
              <w:jc w:val="center"/>
            </w:pPr>
            <w:r>
              <w:rPr>
                <w:rFonts w:ascii="Times New Roman" w:hAnsi="Times New Roman"/>
                <w:sz w:val="16"/>
              </w:rPr>
              <w:t>97.12%</w:t>
            </w:r>
          </w:p>
        </w:tc>
        <w:tc>
          <w:tcPr>
            <w:tcW w:type="dxa" w:w="1120"/>
          </w:tcPr>
          <w:p>
            <w:pPr>
              <w:jc w:val="center"/>
            </w:pPr>
            <w:r>
              <w:rPr>
                <w:rFonts w:ascii="Times New Roman" w:hAnsi="Times New Roman"/>
                <w:sz w:val="16"/>
              </w:rPr>
              <w:t>92.31%</w:t>
            </w:r>
          </w:p>
        </w:tc>
        <w:tc>
          <w:tcPr>
            <w:tcW w:type="dxa" w:w="1120"/>
          </w:tcPr>
          <w:p>
            <w:pPr>
              <w:jc w:val="center"/>
            </w:pPr>
            <w:r>
              <w:rPr>
                <w:rFonts w:ascii="Times New Roman" w:hAnsi="Times New Roman"/>
                <w:sz w:val="16"/>
              </w:rPr>
              <w:t>96.00%</w:t>
            </w:r>
          </w:p>
        </w:tc>
        <w:tc>
          <w:tcPr>
            <w:tcW w:type="dxa" w:w="1120"/>
          </w:tcPr>
          <w:p>
            <w:pPr>
              <w:jc w:val="center"/>
            </w:pPr>
            <w:r>
              <w:rPr>
                <w:rFonts w:ascii="Times New Roman" w:hAnsi="Times New Roman"/>
                <w:sz w:val="16"/>
              </w:rPr>
              <w:t>96.10%</w:t>
            </w:r>
          </w:p>
        </w:tc>
        <w:tc>
          <w:tcPr>
            <w:tcW w:type="dxa" w:w="1120"/>
          </w:tcPr>
          <w:p>
            <w:pPr>
              <w:jc w:val="center"/>
            </w:pPr>
            <w:r>
              <w:rPr>
                <w:rFonts w:ascii="Times New Roman" w:hAnsi="Times New Roman"/>
                <w:sz w:val="16"/>
              </w:rPr>
              <w:t>1.28%</w:t>
            </w:r>
          </w:p>
        </w:tc>
        <w:tc>
          <w:tcPr>
            <w:tcW w:type="dxa" w:w="1120"/>
          </w:tcPr>
          <w:p>
            <w:pPr>
              <w:jc w:val="center"/>
            </w:pPr>
            <w:r>
              <w:rPr>
                <w:rFonts w:ascii="Times New Roman" w:hAnsi="Times New Roman"/>
                <w:sz w:val="16"/>
              </w:rPr>
              <w:t>0.9836</w:t>
            </w:r>
          </w:p>
        </w:tc>
        <w:tc>
          <w:tcPr>
            <w:tcW w:type="dxa" w:w="1120"/>
          </w:tcPr>
          <w:p>
            <w:pPr>
              <w:jc w:val="center"/>
            </w:pPr>
            <w:r>
              <w:rPr>
                <w:rFonts w:ascii="Times New Roman" w:hAnsi="Times New Roman"/>
                <w:sz w:val="16"/>
              </w:rPr>
              <w:t>0.9793</w:t>
            </w:r>
          </w:p>
        </w:tc>
      </w:tr>
    </w:tbl>
    <w:p/>
    <w:p>
      <w:pPr>
        <w:spacing w:before="0" w:after="120"/>
        <w:ind w:firstLine="280"/>
        <w:jc w:val="both"/>
      </w:pPr>
      <w:r>
        <w:rPr>
          <w:rFonts w:ascii="Times New Roman" w:hAnsi="Times New Roman"/>
          <w:b w:val="0"/>
          <w:i w:val="0"/>
          <w:sz w:val="20"/>
        </w:rPr>
        <w:t>FAR = False Alarm Rate = FP / (FP + TN). Sensitivity = TP / (TP + FN). The Late Fusion model achieves the lowest FAR under both protocols: 0.70% (random split, 6.3× reduction vs. ST-GCN alone at 4.41%) and 1.28% (subject-disjoint, 2.7× reduction). The accuracy generalisation gap between the two protocols is only 1.15 percentage points (98.27% → 97.12%), confirming robust cross-subject generalisation.</w:t>
      </w:r>
    </w:p>
    <w:p>
      <w:pPr>
        <w:pStyle w:val="Heading3"/>
        <w:jc w:val="left"/>
      </w:pPr>
      <w:r>
        <w:rPr>
          <w:rFonts w:ascii="Times New Roman" w:hAnsi="Times New Roman"/>
          <w:color w:val="000000"/>
        </w:rPr>
        <w:t>B.  Domain Shift Analysis and Webcam Fine-tuning</w:t>
      </w:r>
    </w:p>
    <w:p>
      <w:pPr>
        <w:spacing w:before="0" w:after="80"/>
        <w:ind w:firstLine="280"/>
        <w:jc w:val="both"/>
      </w:pPr>
      <w:r>
        <w:rPr>
          <w:rFonts w:ascii="Times New Roman" w:hAnsi="Times New Roman"/>
          <w:b w:val="0"/>
          <w:i w:val="0"/>
          <w:sz w:val="20"/>
        </w:rPr>
        <w:t>Domain shift is a fundamental challenge when deploying models trained on laboratory datasets into real clinical environments. Two domain shift experiments are reported: (i) a lab-to-lab shift experiment (NTU-only model applied to UR Fall dataset) and (ii) a lab-to-deployment shift experiment (NTU+UR model applied to in-house webcam footage).</w:t>
      </w:r>
    </w:p>
    <w:p>
      <w:pPr>
        <w:spacing w:after="80"/>
        <w:ind w:firstLine="280"/>
        <w:jc w:val="both"/>
      </w:pPr>
      <w:r>
        <w:rPr>
          <w:rFonts w:ascii="Times New Roman" w:hAnsi="Times New Roman"/>
          <w:b/>
          <w:i w:val="0"/>
          <w:sz w:val="20"/>
        </w:rPr>
        <w:t xml:space="preserve">Lab-to-Lab Domain Shift (NTU → UR Fall Dataset). </w:t>
      </w:r>
      <w:r>
        <w:rPr>
          <w:rFonts w:ascii="Times New Roman" w:hAnsi="Times New Roman"/>
          <w:b w:val="0"/>
          <w:i w:val="0"/>
          <w:sz w:val="20"/>
        </w:rPr>
        <w:t>Table IV shows the performance of a model trained exclusively on NTU RGB+D and evaluated on the UR Fall Detection dataset (70 clips) without any domain adaptation or fine-tuning. These are two different laboratory datasets: NTU uses Kinect-v2 depth cameras with standardised lab backgrounds, while UR uses a different camera, different lab environment, and different subject population. This cross-dataset experiment isolates the effect of changing the data source within a controlled lab-to-lab shift, establishing that even well-controlled benchmark-to-benchmark transfer causes severe performance collapse.</w:t>
      </w:r>
    </w:p>
    <w:p>
      <w:pPr>
        <w:spacing w:before="120" w:after="80"/>
        <w:jc w:val="center"/>
      </w:pPr>
      <w:r>
        <w:rPr>
          <w:rFonts w:ascii="Times New Roman" w:hAnsi="Times New Roman"/>
          <w:b/>
          <w:sz w:val="18"/>
        </w:rPr>
        <w:t>TABLE IV — LAB-TO-LAB DOMAIN SHIFT: NTU-ONLY MODEL EVALUATED ON UR FALL DETECTION DATASET (70 CLIPS)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pPr>
              <w:jc w:val="center"/>
            </w:pPr>
            <w:r>
              <w:rPr>
                <w:rFonts w:ascii="Times New Roman" w:hAnsi="Times New Roman"/>
                <w:b/>
                <w:sz w:val="18"/>
              </w:rPr>
              <w:t>Model</w:t>
            </w:r>
          </w:p>
        </w:tc>
        <w:tc>
          <w:tcPr>
            <w:tcW w:type="dxa" w:w="1680"/>
            <w:vAlign w:val="center"/>
          </w:tcPr>
          <w:p>
            <w:pPr>
              <w:jc w:val="center"/>
            </w:pPr>
            <w:r>
              <w:rPr>
                <w:rFonts w:ascii="Times New Roman" w:hAnsi="Times New Roman"/>
                <w:b/>
                <w:sz w:val="18"/>
              </w:rPr>
              <w:t>Accuracy</w:t>
            </w:r>
          </w:p>
        </w:tc>
        <w:tc>
          <w:tcPr>
            <w:tcW w:type="dxa" w:w="1680"/>
            <w:vAlign w:val="center"/>
          </w:tcPr>
          <w:p>
            <w:pPr>
              <w:jc w:val="center"/>
            </w:pPr>
            <w:r>
              <w:rPr>
                <w:rFonts w:ascii="Times New Roman" w:hAnsi="Times New Roman"/>
                <w:b/>
                <w:sz w:val="18"/>
              </w:rPr>
              <w:t>Sensitivity</w:t>
            </w:r>
          </w:p>
        </w:tc>
        <w:tc>
          <w:tcPr>
            <w:tcW w:type="dxa" w:w="1680"/>
            <w:vAlign w:val="center"/>
          </w:tcPr>
          <w:p>
            <w:pPr>
              <w:jc w:val="center"/>
            </w:pPr>
            <w:r>
              <w:rPr>
                <w:rFonts w:ascii="Times New Roman" w:hAnsi="Times New Roman"/>
                <w:b/>
                <w:sz w:val="18"/>
              </w:rPr>
              <w:t>FAR</w:t>
            </w:r>
          </w:p>
        </w:tc>
        <w:tc>
          <w:tcPr>
            <w:tcW w:type="dxa" w:w="1680"/>
            <w:vAlign w:val="center"/>
          </w:tcPr>
          <w:p>
            <w:pPr>
              <w:jc w:val="center"/>
            </w:pPr>
            <w:r>
              <w:rPr>
                <w:rFonts w:ascii="Times New Roman" w:hAnsi="Times New Roman"/>
                <w:b/>
                <w:sz w:val="18"/>
              </w:rPr>
              <w:t>ROC-AUC</w:t>
            </w:r>
          </w:p>
        </w:tc>
        <w:tc>
          <w:tcPr>
            <w:tcW w:type="dxa" w:w="1680"/>
            <w:vAlign w:val="center"/>
          </w:tcPr>
          <w:p>
            <w:pPr>
              <w:jc w:val="center"/>
            </w:pPr>
            <w:r>
              <w:rPr>
                <w:rFonts w:ascii="Times New Roman" w:hAnsi="Times New Roman"/>
                <w:b/>
                <w:sz w:val="18"/>
              </w:rPr>
              <w:t>Assessment</w:t>
            </w:r>
          </w:p>
        </w:tc>
      </w:tr>
      <w:tr>
        <w:tc>
          <w:tcPr>
            <w:tcW w:type="dxa" w:w="1680"/>
          </w:tcPr>
          <w:p>
            <w:pPr>
              <w:jc w:val="center"/>
            </w:pPr>
            <w:r>
              <w:rPr>
                <w:rFonts w:ascii="Times New Roman" w:hAnsi="Times New Roman"/>
                <w:sz w:val="18"/>
              </w:rPr>
              <w:t>ST-GCN only</w:t>
            </w:r>
          </w:p>
        </w:tc>
        <w:tc>
          <w:tcPr>
            <w:tcW w:type="dxa" w:w="1680"/>
          </w:tcPr>
          <w:p>
            <w:pPr>
              <w:jc w:val="center"/>
            </w:pPr>
            <w:r>
              <w:rPr>
                <w:rFonts w:ascii="Times New Roman" w:hAnsi="Times New Roman"/>
                <w:sz w:val="18"/>
              </w:rPr>
              <w:t>42.86%</w:t>
            </w:r>
          </w:p>
        </w:tc>
        <w:tc>
          <w:tcPr>
            <w:tcW w:type="dxa" w:w="1680"/>
          </w:tcPr>
          <w:p>
            <w:pPr>
              <w:jc w:val="center"/>
            </w:pPr>
            <w:r>
              <w:rPr>
                <w:rFonts w:ascii="Times New Roman" w:hAnsi="Times New Roman"/>
                <w:sz w:val="18"/>
              </w:rPr>
              <w:t>100% (degenerate)</w:t>
            </w:r>
          </w:p>
        </w:tc>
        <w:tc>
          <w:tcPr>
            <w:tcW w:type="dxa" w:w="1680"/>
          </w:tcPr>
          <w:p>
            <w:pPr>
              <w:jc w:val="center"/>
            </w:pPr>
            <w:r>
              <w:rPr>
                <w:rFonts w:ascii="Times New Roman" w:hAnsi="Times New Roman"/>
                <w:sz w:val="18"/>
              </w:rPr>
              <w:t>100%</w:t>
            </w:r>
          </w:p>
        </w:tc>
        <w:tc>
          <w:tcPr>
            <w:tcW w:type="dxa" w:w="1680"/>
          </w:tcPr>
          <w:p>
            <w:pPr>
              <w:jc w:val="center"/>
            </w:pPr>
            <w:r>
              <w:rPr>
                <w:rFonts w:ascii="Times New Roman" w:hAnsi="Times New Roman"/>
                <w:sz w:val="18"/>
              </w:rPr>
              <w:t>0.500</w:t>
            </w:r>
          </w:p>
        </w:tc>
        <w:tc>
          <w:tcPr>
            <w:tcW w:type="dxa" w:w="1680"/>
          </w:tcPr>
          <w:p>
            <w:pPr>
              <w:jc w:val="center"/>
            </w:pPr>
            <w:r>
              <w:rPr>
                <w:rFonts w:ascii="Times New Roman" w:hAnsi="Times New Roman"/>
                <w:sz w:val="18"/>
              </w:rPr>
              <w:t>Classifies every window as FALL</w:t>
            </w:r>
          </w:p>
        </w:tc>
      </w:tr>
      <w:tr>
        <w:tc>
          <w:tcPr>
            <w:tcW w:type="dxa" w:w="1680"/>
          </w:tcPr>
          <w:p>
            <w:pPr>
              <w:jc w:val="center"/>
            </w:pPr>
            <w:r>
              <w:rPr>
                <w:rFonts w:ascii="Times New Roman" w:hAnsi="Times New Roman"/>
                <w:sz w:val="18"/>
              </w:rPr>
              <w:t>Features only</w:t>
            </w:r>
          </w:p>
        </w:tc>
        <w:tc>
          <w:tcPr>
            <w:tcW w:type="dxa" w:w="1680"/>
          </w:tcPr>
          <w:p>
            <w:pPr>
              <w:jc w:val="center"/>
            </w:pPr>
            <w:r>
              <w:rPr>
                <w:rFonts w:ascii="Times New Roman" w:hAnsi="Times New Roman"/>
                <w:sz w:val="18"/>
              </w:rPr>
              <w:t>44.29%</w:t>
            </w:r>
          </w:p>
        </w:tc>
        <w:tc>
          <w:tcPr>
            <w:tcW w:type="dxa" w:w="1680"/>
          </w:tcPr>
          <w:p>
            <w:pPr>
              <w:jc w:val="center"/>
            </w:pPr>
            <w:r>
              <w:rPr>
                <w:rFonts w:ascii="Times New Roman" w:hAnsi="Times New Roman"/>
                <w:sz w:val="18"/>
              </w:rPr>
              <w:t>3.33%</w:t>
            </w:r>
          </w:p>
        </w:tc>
        <w:tc>
          <w:tcPr>
            <w:tcW w:type="dxa" w:w="1680"/>
          </w:tcPr>
          <w:p>
            <w:pPr>
              <w:jc w:val="center"/>
            </w:pPr>
            <w:r>
              <w:rPr>
                <w:rFonts w:ascii="Times New Roman" w:hAnsi="Times New Roman"/>
                <w:sz w:val="18"/>
              </w:rPr>
              <w:t>25.0%</w:t>
            </w:r>
          </w:p>
        </w:tc>
        <w:tc>
          <w:tcPr>
            <w:tcW w:type="dxa" w:w="1680"/>
          </w:tcPr>
          <w:p>
            <w:pPr>
              <w:jc w:val="center"/>
            </w:pPr>
            <w:r>
              <w:rPr>
                <w:rFonts w:ascii="Times New Roman" w:hAnsi="Times New Roman"/>
                <w:sz w:val="18"/>
              </w:rPr>
              <w:t>0.185</w:t>
            </w:r>
          </w:p>
        </w:tc>
        <w:tc>
          <w:tcPr>
            <w:tcW w:type="dxa" w:w="1680"/>
          </w:tcPr>
          <w:p>
            <w:pPr>
              <w:jc w:val="center"/>
            </w:pPr>
            <w:r>
              <w:rPr>
                <w:rFonts w:ascii="Times New Roman" w:hAnsi="Times New Roman"/>
                <w:sz w:val="18"/>
              </w:rPr>
              <w:t>Classifies nearly all as NORMAL</w:t>
            </w:r>
          </w:p>
        </w:tc>
      </w:tr>
      <w:tr>
        <w:tc>
          <w:tcPr>
            <w:tcW w:type="dxa" w:w="1680"/>
          </w:tcPr>
          <w:p>
            <w:pPr>
              <w:jc w:val="center"/>
            </w:pPr>
            <w:r>
              <w:rPr>
                <w:rFonts w:ascii="Times New Roman" w:hAnsi="Times New Roman"/>
                <w:sz w:val="18"/>
              </w:rPr>
              <w:t>Fusion</w:t>
            </w:r>
          </w:p>
        </w:tc>
        <w:tc>
          <w:tcPr>
            <w:tcW w:type="dxa" w:w="1680"/>
          </w:tcPr>
          <w:p>
            <w:pPr>
              <w:jc w:val="center"/>
            </w:pPr>
            <w:r>
              <w:rPr>
                <w:rFonts w:ascii="Times New Roman" w:hAnsi="Times New Roman"/>
                <w:sz w:val="18"/>
              </w:rPr>
              <w:t>42.86%</w:t>
            </w:r>
          </w:p>
        </w:tc>
        <w:tc>
          <w:tcPr>
            <w:tcW w:type="dxa" w:w="1680"/>
          </w:tcPr>
          <w:p>
            <w:pPr>
              <w:jc w:val="center"/>
            </w:pPr>
            <w:r>
              <w:rPr>
                <w:rFonts w:ascii="Times New Roman" w:hAnsi="Times New Roman"/>
                <w:sz w:val="18"/>
              </w:rPr>
              <w:t>36.67%</w:t>
            </w:r>
          </w:p>
        </w:tc>
        <w:tc>
          <w:tcPr>
            <w:tcW w:type="dxa" w:w="1680"/>
          </w:tcPr>
          <w:p>
            <w:pPr>
              <w:jc w:val="center"/>
            </w:pPr>
            <w:r>
              <w:rPr>
                <w:rFonts w:ascii="Times New Roman" w:hAnsi="Times New Roman"/>
                <w:sz w:val="18"/>
              </w:rPr>
              <w:t>52.5%</w:t>
            </w:r>
          </w:p>
        </w:tc>
        <w:tc>
          <w:tcPr>
            <w:tcW w:type="dxa" w:w="1680"/>
          </w:tcPr>
          <w:p>
            <w:pPr>
              <w:jc w:val="center"/>
            </w:pPr>
            <w:r>
              <w:rPr>
                <w:rFonts w:ascii="Times New Roman" w:hAnsi="Times New Roman"/>
                <w:sz w:val="18"/>
              </w:rPr>
              <w:t>0.410</w:t>
            </w:r>
          </w:p>
        </w:tc>
        <w:tc>
          <w:tcPr>
            <w:tcW w:type="dxa" w:w="1680"/>
          </w:tcPr>
          <w:p>
            <w:pPr>
              <w:jc w:val="center"/>
            </w:pPr>
            <w:r>
              <w:rPr>
                <w:rFonts w:ascii="Times New Roman" w:hAnsi="Times New Roman"/>
                <w:sz w:val="18"/>
              </w:rPr>
              <w:t>Near-chance performance</w:t>
            </w:r>
          </w:p>
        </w:tc>
      </w:tr>
    </w:tbl>
    <w:p/>
    <w:p>
      <w:pPr>
        <w:spacing w:after="120"/>
        <w:ind w:firstLine="280"/>
        <w:jc w:val="both"/>
      </w:pPr>
      <w:r>
        <w:rPr>
          <w:rFonts w:ascii="Times New Roman" w:hAnsi="Times New Roman"/>
          <w:b/>
          <w:i w:val="0"/>
          <w:sz w:val="20"/>
        </w:rPr>
        <w:t xml:space="preserve">Lab-to-Deployment Domain Shift (NTU+UR → In-house Webcam). When the main model (trained on combined NTU+UR) is applied without fine-tuning to real ward-camera footage, a similar collapse occurs—attributable to differences in camera mounting angle, background complexity, lighting conditions, subject clothing, and the absence of a controlled lab environment. The webcam fine-tuning pipeline directly addresses this lab-to-deployment gap: by retraining only the final two layers of the Late Fusion Network on 93 in-house clips, the model's decision boundary adapts to the deployment domain while preserving the ST-GCN's learned motion representations. The recovery from near-chance performance to ROC-AUC 0.8527 (Table V) demonstrates that the underlying motion representations generalise across domains—only the decision boundary requires adaptation, making the fine-tuning pipeline lightweight and practical for clinical sites without large-scale data collection infrastructure.</w:t>
      </w:r>
    </w:p>
    <w:p>
      <w:pPr>
        <w:spacing w:before="120" w:after="80"/>
        <w:jc w:val="center"/>
      </w:pPr>
      <w:r>
        <w:rPr>
          <w:rFonts w:ascii="Times New Roman" w:hAnsi="Times New Roman"/>
          <w:b/>
          <w:sz w:val="18"/>
        </w:rPr>
        <w:t>TABLE V — WEBCAM FINE-TUNED MODEL PERFORMANCE (93 CLIPS, Θ = 0.60)</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center"/>
            </w:pPr>
            <w:r>
              <w:rPr>
                <w:rFonts w:ascii="Times New Roman" w:hAnsi="Times New Roman"/>
                <w:b/>
                <w:sz w:val="18"/>
              </w:rPr>
              <w:t>Metric</w:t>
            </w:r>
          </w:p>
        </w:tc>
        <w:tc>
          <w:tcPr>
            <w:tcW w:type="dxa" w:w="3360"/>
            <w:vAlign w:val="center"/>
          </w:tcPr>
          <w:p>
            <w:pPr>
              <w:jc w:val="center"/>
            </w:pPr>
            <w:r>
              <w:rPr>
                <w:rFonts w:ascii="Times New Roman" w:hAnsi="Times New Roman"/>
                <w:b/>
                <w:sz w:val="18"/>
              </w:rPr>
              <w:t>Value</w:t>
            </w:r>
          </w:p>
        </w:tc>
        <w:tc>
          <w:tcPr>
            <w:tcW w:type="dxa" w:w="3360"/>
            <w:vAlign w:val="center"/>
          </w:tcPr>
          <w:p>
            <w:pPr>
              <w:jc w:val="center"/>
            </w:pPr>
            <w:r>
              <w:rPr>
                <w:rFonts w:ascii="Times New Roman" w:hAnsi="Times New Roman"/>
                <w:b/>
                <w:sz w:val="18"/>
              </w:rPr>
              <w:t>Interpretation</w:t>
            </w:r>
          </w:p>
        </w:tc>
      </w:tr>
      <w:tr>
        <w:tc>
          <w:tcPr>
            <w:tcW w:type="dxa" w:w="3360"/>
          </w:tcPr>
          <w:p>
            <w:pPr>
              <w:jc w:val="center"/>
            </w:pPr>
            <w:r>
              <w:rPr>
                <w:rFonts w:ascii="Times New Roman" w:hAnsi="Times New Roman"/>
                <w:sz w:val="18"/>
              </w:rPr>
              <w:t>Accuracy</w:t>
            </w:r>
          </w:p>
        </w:tc>
        <w:tc>
          <w:tcPr>
            <w:tcW w:type="dxa" w:w="3360"/>
          </w:tcPr>
          <w:p>
            <w:pPr>
              <w:jc w:val="center"/>
            </w:pPr>
            <w:r>
              <w:rPr>
                <w:rFonts w:ascii="Times New Roman" w:hAnsi="Times New Roman"/>
                <w:sz w:val="18"/>
              </w:rPr>
              <w:t>91.38%</w:t>
            </w:r>
          </w:p>
        </w:tc>
        <w:tc>
          <w:tcPr>
            <w:tcW w:type="dxa" w:w="3360"/>
          </w:tcPr>
          <w:p>
            <w:pPr>
              <w:jc w:val="center"/>
            </w:pPr>
            <w:r>
              <w:rPr>
                <w:rFonts w:ascii="Times New Roman" w:hAnsi="Times New Roman"/>
                <w:sz w:val="18"/>
              </w:rPr>
              <w:t>Correctly classified 53 of 58 clips</w:t>
            </w:r>
          </w:p>
        </w:tc>
      </w:tr>
      <w:tr>
        <w:tc>
          <w:tcPr>
            <w:tcW w:type="dxa" w:w="3360"/>
          </w:tcPr>
          <w:p>
            <w:pPr>
              <w:jc w:val="center"/>
            </w:pPr>
            <w:r>
              <w:rPr>
                <w:rFonts w:ascii="Times New Roman" w:hAnsi="Times New Roman"/>
                <w:sz w:val="18"/>
              </w:rPr>
              <w:t>Sensitivity</w:t>
            </w:r>
          </w:p>
        </w:tc>
        <w:tc>
          <w:tcPr>
            <w:tcW w:type="dxa" w:w="3360"/>
          </w:tcPr>
          <w:p>
            <w:pPr>
              <w:jc w:val="center"/>
            </w:pPr>
            <w:r>
              <w:rPr>
                <w:rFonts w:ascii="Times New Roman" w:hAnsi="Times New Roman"/>
                <w:sz w:val="18"/>
              </w:rPr>
              <w:t>80.00%</w:t>
            </w:r>
          </w:p>
        </w:tc>
        <w:tc>
          <w:tcPr>
            <w:tcW w:type="dxa" w:w="3360"/>
          </w:tcPr>
          <w:p>
            <w:pPr>
              <w:jc w:val="center"/>
            </w:pPr>
            <w:r>
              <w:rPr>
                <w:rFonts w:ascii="Times New Roman" w:hAnsi="Times New Roman"/>
                <w:sz w:val="18"/>
              </w:rPr>
              <w:t>Detected 12 of 15 fall events</w:t>
            </w:r>
          </w:p>
        </w:tc>
      </w:tr>
      <w:tr>
        <w:tc>
          <w:tcPr>
            <w:tcW w:type="dxa" w:w="3360"/>
          </w:tcPr>
          <w:p>
            <w:pPr>
              <w:jc w:val="center"/>
            </w:pPr>
            <w:r>
              <w:rPr>
                <w:rFonts w:ascii="Times New Roman" w:hAnsi="Times New Roman"/>
                <w:sz w:val="18"/>
              </w:rPr>
              <w:t>FAR</w:t>
            </w:r>
          </w:p>
        </w:tc>
        <w:tc>
          <w:tcPr>
            <w:tcW w:type="dxa" w:w="3360"/>
          </w:tcPr>
          <w:p>
            <w:pPr>
              <w:jc w:val="center"/>
            </w:pPr>
            <w:r>
              <w:rPr>
                <w:rFonts w:ascii="Times New Roman" w:hAnsi="Times New Roman"/>
                <w:sz w:val="18"/>
              </w:rPr>
              <w:t>4.65%</w:t>
            </w:r>
          </w:p>
        </w:tc>
        <w:tc>
          <w:tcPr>
            <w:tcW w:type="dxa" w:w="3360"/>
          </w:tcPr>
          <w:p>
            <w:pPr>
              <w:jc w:val="center"/>
            </w:pPr>
            <w:r>
              <w:rPr>
                <w:rFonts w:ascii="Times New Roman" w:hAnsi="Times New Roman"/>
                <w:sz w:val="18"/>
              </w:rPr>
              <w:t>2 false alarms out of 43 normal clips</w:t>
            </w:r>
          </w:p>
        </w:tc>
      </w:tr>
      <w:tr>
        <w:tc>
          <w:tcPr>
            <w:tcW w:type="dxa" w:w="3360"/>
          </w:tcPr>
          <w:p>
            <w:pPr>
              <w:jc w:val="center"/>
            </w:pPr>
            <w:r>
              <w:rPr>
                <w:rFonts w:ascii="Times New Roman" w:hAnsi="Times New Roman"/>
                <w:sz w:val="18"/>
              </w:rPr>
              <w:t>ROC-AUC</w:t>
            </w:r>
          </w:p>
        </w:tc>
        <w:tc>
          <w:tcPr>
            <w:tcW w:type="dxa" w:w="3360"/>
          </w:tcPr>
          <w:p>
            <w:pPr>
              <w:jc w:val="center"/>
            </w:pPr>
            <w:r>
              <w:rPr>
                <w:rFonts w:ascii="Times New Roman" w:hAnsi="Times New Roman"/>
                <w:sz w:val="18"/>
              </w:rPr>
              <w:t>0.8527</w:t>
            </w:r>
          </w:p>
        </w:tc>
        <w:tc>
          <w:tcPr>
            <w:tcW w:type="dxa" w:w="3360"/>
          </w:tcPr>
          <w:p>
            <w:pPr>
              <w:jc w:val="center"/>
            </w:pPr>
            <w:r>
              <w:rPr>
                <w:rFonts w:ascii="Times New Roman" w:hAnsi="Times New Roman"/>
                <w:sz w:val="18"/>
              </w:rPr>
              <w:t>Strong discriminability from chance (0.500)</w:t>
            </w:r>
          </w:p>
        </w:tc>
      </w:tr>
      <w:tr>
        <w:tc>
          <w:tcPr>
            <w:tcW w:type="dxa" w:w="3360"/>
          </w:tcPr>
          <w:p>
            <w:pPr>
              <w:jc w:val="center"/>
            </w:pPr>
            <w:r>
              <w:rPr>
                <w:rFonts w:ascii="Times New Roman" w:hAnsi="Times New Roman"/>
                <w:sz w:val="18"/>
              </w:rPr>
              <w:t>Fine-tune clips used</w:t>
            </w:r>
          </w:p>
        </w:tc>
        <w:tc>
          <w:tcPr>
            <w:tcW w:type="dxa" w:w="3360"/>
          </w:tcPr>
          <w:p>
            <w:pPr>
              <w:jc w:val="center"/>
            </w:pPr>
            <w:r>
              <w:rPr>
                <w:rFonts w:ascii="Times New Roman" w:hAnsi="Times New Roman"/>
                <w:sz w:val="18"/>
              </w:rPr>
              <w:t>58</w:t>
            </w:r>
          </w:p>
        </w:tc>
        <w:tc>
          <w:tcPr>
            <w:tcW w:type="dxa" w:w="3360"/>
          </w:tcPr>
          <w:p>
            <w:pPr>
              <w:jc w:val="center"/>
            </w:pPr>
            <w:r>
              <w:rPr>
                <w:rFonts w:ascii="Times New Roman" w:hAnsi="Times New Roman"/>
                <w:sz w:val="18"/>
              </w:rPr>
              <w:t>Achieves recovery from AUC 0.410 to 0.8527</w:t>
            </w:r>
          </w:p>
        </w:tc>
      </w:tr>
    </w:tbl>
    <w:p/>
    <w:p>
      <w:pPr>
        <w:spacing w:before="0" w:after="120"/>
        <w:ind w:firstLine="280"/>
        <w:jc w:val="both"/>
      </w:pPr>
      <w:r>
        <w:rPr>
          <w:rFonts w:ascii="Times New Roman" w:hAnsi="Times New Roman"/>
          <w:b w:val="0"/>
          <w:i w:val="0"/>
          <w:sz w:val="20"/>
        </w:rPr>
        <w:t>Sensitivity of 80.00% at the deployed threshold is lower than the public-dataset benchmark (95.24%). This is attributable to the limited in-house fine-tuning corpus size (58 clips). The ROC-AUC of 0.8527 confirms that the model has strong discriminability in this domain; the sensitivity gap at the operating threshold reflects the threshold optimisation trade-off rather than fundamental model incapacity. Expansion of the in-house dataset is the primary path to closing the sensitivity gap.</w:t>
      </w:r>
    </w:p>
    <w:p>
      <w:pPr>
        <w:pStyle w:val="Heading3"/>
        <w:jc w:val="left"/>
      </w:pPr>
      <w:r>
        <w:rPr>
          <w:rFonts w:ascii="Times New Roman" w:hAnsi="Times New Roman"/>
          <w:color w:val="000000"/>
        </w:rPr>
        <w:t>C.  Inference Latency on Edge Hardware</w:t>
      </w:r>
    </w:p>
    <w:p>
      <w:pPr>
        <w:spacing w:before="120" w:after="80"/>
        <w:jc w:val="center"/>
      </w:pPr>
      <w:r>
        <w:rPr>
          <w:rFonts w:ascii="Times New Roman" w:hAnsi="Times New Roman"/>
          <w:b/>
          <w:sz w:val="18"/>
        </w:rPr>
        <w:t>TABLE VI — INFERENCE LATENCY BREAKDOWN (CPU-ONLY, 100-RUN BENCHMARK)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center"/>
            </w:pPr>
            <w:r>
              <w:rPr>
                <w:rFonts w:ascii="Times New Roman" w:hAnsi="Times New Roman"/>
                <w:b/>
                <w:sz w:val="18"/>
              </w:rPr>
              <w:t>Stage</w:t>
            </w:r>
          </w:p>
        </w:tc>
        <w:tc>
          <w:tcPr>
            <w:tcW w:type="dxa" w:w="3360"/>
            <w:vAlign w:val="center"/>
          </w:tcPr>
          <w:p>
            <w:pPr>
              <w:jc w:val="center"/>
            </w:pPr>
            <w:r>
              <w:rPr>
                <w:rFonts w:ascii="Times New Roman" w:hAnsi="Times New Roman"/>
                <w:b/>
                <w:sz w:val="18"/>
              </w:rPr>
              <w:t>Mean (ms)</w:t>
            </w:r>
          </w:p>
        </w:tc>
        <w:tc>
          <w:tcPr>
            <w:tcW w:type="dxa" w:w="3360"/>
            <w:vAlign w:val="center"/>
          </w:tcPr>
          <w:p>
            <w:pPr>
              <w:jc w:val="center"/>
            </w:pPr>
            <w:r>
              <w:rPr>
                <w:rFonts w:ascii="Times New Roman" w:hAnsi="Times New Roman"/>
                <w:b/>
                <w:sz w:val="18"/>
              </w:rPr>
              <w:t>Std Dev (ms)</w:t>
            </w:r>
          </w:p>
        </w:tc>
      </w:tr>
      <w:tr>
        <w:tc>
          <w:tcPr>
            <w:tcW w:type="dxa" w:w="3360"/>
          </w:tcPr>
          <w:p>
            <w:pPr>
              <w:jc w:val="center"/>
            </w:pPr>
            <w:r>
              <w:rPr>
                <w:rFonts w:ascii="Times New Roman" w:hAnsi="Times New Roman"/>
                <w:sz w:val="18"/>
              </w:rPr>
              <w:t>Preprocessing (normalisation + 18-feature extraction)</w:t>
            </w:r>
          </w:p>
        </w:tc>
        <w:tc>
          <w:tcPr>
            <w:tcW w:type="dxa" w:w="3360"/>
          </w:tcPr>
          <w:p>
            <w:pPr>
              <w:jc w:val="center"/>
            </w:pPr>
            <w:r>
              <w:rPr>
                <w:rFonts w:ascii="Times New Roman" w:hAnsi="Times New Roman"/>
                <w:sz w:val="18"/>
              </w:rPr>
              <w:t>1.13</w:t>
            </w:r>
          </w:p>
        </w:tc>
        <w:tc>
          <w:tcPr>
            <w:tcW w:type="dxa" w:w="3360"/>
          </w:tcPr>
          <w:p>
            <w:pPr>
              <w:jc w:val="center"/>
            </w:pPr>
            <w:r>
              <w:rPr>
                <w:rFonts w:ascii="Times New Roman" w:hAnsi="Times New Roman"/>
                <w:sz w:val="18"/>
              </w:rPr>
              <w:t>0.25</w:t>
            </w:r>
          </w:p>
        </w:tc>
      </w:tr>
      <w:tr>
        <w:tc>
          <w:tcPr>
            <w:tcW w:type="dxa" w:w="3360"/>
          </w:tcPr>
          <w:p>
            <w:pPr>
              <w:jc w:val="center"/>
            </w:pPr>
            <w:r>
              <w:rPr>
                <w:rFonts w:ascii="Times New Roman" w:hAnsi="Times New Roman"/>
                <w:sz w:val="18"/>
              </w:rPr>
              <w:t>ST-GCN forward pass</w:t>
            </w:r>
          </w:p>
        </w:tc>
        <w:tc>
          <w:tcPr>
            <w:tcW w:type="dxa" w:w="3360"/>
          </w:tcPr>
          <w:p>
            <w:pPr>
              <w:jc w:val="center"/>
            </w:pPr>
            <w:r>
              <w:rPr>
                <w:rFonts w:ascii="Times New Roman" w:hAnsi="Times New Roman"/>
                <w:sz w:val="18"/>
              </w:rPr>
              <w:t>4.20</w:t>
            </w:r>
          </w:p>
        </w:tc>
        <w:tc>
          <w:tcPr>
            <w:tcW w:type="dxa" w:w="3360"/>
          </w:tcPr>
          <w:p>
            <w:pPr>
              <w:jc w:val="center"/>
            </w:pPr>
            <w:r>
              <w:rPr>
                <w:rFonts w:ascii="Times New Roman" w:hAnsi="Times New Roman"/>
                <w:sz w:val="18"/>
              </w:rPr>
              <w:t>1.14</w:t>
            </w:r>
          </w:p>
        </w:tc>
      </w:tr>
      <w:tr>
        <w:tc>
          <w:tcPr>
            <w:tcW w:type="dxa" w:w="3360"/>
          </w:tcPr>
          <w:p>
            <w:pPr>
              <w:jc w:val="center"/>
            </w:pPr>
            <w:r>
              <w:rPr>
                <w:rFonts w:ascii="Times New Roman" w:hAnsi="Times New Roman"/>
                <w:sz w:val="18"/>
              </w:rPr>
              <w:t>Late Fusion forward pass</w:t>
            </w:r>
          </w:p>
        </w:tc>
        <w:tc>
          <w:tcPr>
            <w:tcW w:type="dxa" w:w="3360"/>
          </w:tcPr>
          <w:p>
            <w:pPr>
              <w:jc w:val="center"/>
            </w:pPr>
            <w:r>
              <w:rPr>
                <w:rFonts w:ascii="Times New Roman" w:hAnsi="Times New Roman"/>
                <w:sz w:val="18"/>
              </w:rPr>
              <w:t>0.19</w:t>
            </w:r>
          </w:p>
        </w:tc>
        <w:tc>
          <w:tcPr>
            <w:tcW w:type="dxa" w:w="3360"/>
          </w:tcPr>
          <w:p>
            <w:pPr>
              <w:jc w:val="center"/>
            </w:pPr>
            <w:r>
              <w:rPr>
                <w:rFonts w:ascii="Times New Roman" w:hAnsi="Times New Roman"/>
                <w:sz w:val="18"/>
              </w:rPr>
              <w:t>0.05</w:t>
            </w:r>
          </w:p>
        </w:tc>
      </w:tr>
      <w:tr>
        <w:tc>
          <w:tcPr>
            <w:tcW w:type="dxa" w:w="3360"/>
          </w:tcPr>
          <w:p>
            <w:pPr>
              <w:jc w:val="center"/>
            </w:pPr>
            <w:r>
              <w:rPr>
                <w:rFonts w:ascii="Times New Roman" w:hAnsi="Times New Roman"/>
                <w:sz w:val="18"/>
              </w:rPr>
              <w:t>Total per inference window</w:t>
            </w:r>
          </w:p>
        </w:tc>
        <w:tc>
          <w:tcPr>
            <w:tcW w:type="dxa" w:w="3360"/>
          </w:tcPr>
          <w:p>
            <w:pPr>
              <w:jc w:val="center"/>
            </w:pPr>
            <w:r>
              <w:rPr>
                <w:rFonts w:ascii="Times New Roman" w:hAnsi="Times New Roman"/>
                <w:sz w:val="18"/>
              </w:rPr>
              <w:t>5.55</w:t>
            </w:r>
          </w:p>
        </w:tc>
        <w:tc>
          <w:tcPr>
            <w:tcW w:type="dxa" w:w="3360"/>
          </w:tcPr>
          <w:p>
            <w:pPr>
              <w:jc w:val="center"/>
            </w:pPr>
            <w:r>
              <w:rPr>
                <w:rFonts w:ascii="Times New Roman" w:hAnsi="Times New Roman"/>
                <w:sz w:val="18"/>
              </w:rPr>
              <w:t>1.25</w:t>
            </w:r>
          </w:p>
        </w:tc>
      </w:tr>
      <w:tr>
        <w:tc>
          <w:tcPr>
            <w:tcW w:type="dxa" w:w="3360"/>
          </w:tcPr>
          <w:p>
            <w:pPr>
              <w:jc w:val="center"/>
            </w:pPr>
            <w:r>
              <w:rPr>
                <w:rFonts w:ascii="Times New Roman" w:hAnsi="Times New Roman"/>
                <w:sz w:val="18"/>
              </w:rPr>
              <w:t>Windows per second</w:t>
            </w:r>
          </w:p>
        </w:tc>
        <w:tc>
          <w:tcPr>
            <w:tcW w:type="dxa" w:w="3360"/>
          </w:tcPr>
          <w:p>
            <w:pPr>
              <w:jc w:val="center"/>
            </w:pPr>
            <w:r>
              <w:rPr>
                <w:rFonts w:ascii="Times New Roman" w:hAnsi="Times New Roman"/>
                <w:sz w:val="18"/>
              </w:rPr>
              <w:t>180.1</w:t>
            </w:r>
          </w:p>
        </w:tc>
        <w:tc>
          <w:tcPr>
            <w:tcW w:type="dxa" w:w="3360"/>
          </w:tcPr>
          <w:p>
            <w:pPr>
              <w:jc w:val="center"/>
            </w:pPr>
            <w:r>
              <w:rPr>
                <w:rFonts w:ascii="Times New Roman" w:hAnsi="Times New Roman"/>
                <w:sz w:val="18"/>
              </w:rPr>
              <w:t>—</w:t>
            </w:r>
          </w:p>
        </w:tc>
      </w:tr>
    </w:tbl>
    <w:p/>
    <w:p>
      <w:pPr>
        <w:spacing w:before="0" w:after="120"/>
        <w:ind w:firstLine="280"/>
        <w:jc w:val="both"/>
      </w:pPr>
      <w:r>
        <w:rPr>
          <w:rFonts w:ascii="Times New Roman" w:hAnsi="Times New Roman"/>
          <w:b w:val="0"/>
          <w:i w:val="0"/>
          <w:sz w:val="20"/>
        </w:rPr>
        <w:t xml:space="preserve">Real-time operation at 30 FPS with INFER_EVERY_N = 3 requires 10 windows/s. The system achieves 180.1 windows/s—an 18.0× headroom margin—confirming that a single CPU-only edge device can sustain continuous monitoring across multiple simultaneous camera feeds.</w:t>
      </w:r>
    </w:p>
    <w:p>
      <w:pPr>
        <w:pStyle w:val="Heading2"/>
        <w:jc w:val="left"/>
      </w:pPr>
      <w:r>
        <w:rPr>
          <w:rFonts w:ascii="Times New Roman" w:hAnsi="Times New Roman"/>
          <w:color w:val="000000"/>
        </w:rPr>
        <w:t>IV.  Discussion</w:t>
      </w:r>
    </w:p>
    <w:p>
      <w:pPr>
        <w:spacing w:before="0" w:after="80"/>
        <w:ind w:firstLine="280"/>
        <w:jc w:val="both"/>
      </w:pPr>
      <w:r>
        <w:rPr>
          <w:rFonts w:ascii="Times New Roman" w:hAnsi="Times New Roman"/>
          <w:b w:val="0"/>
          <w:i w:val="0"/>
          <w:sz w:val="20"/>
        </w:rPr>
        <w:t>The 6.3× reduction in false alarm rate achieved by late fusion over the ST-GCN alone (4.41% → 0.70%) has a direct operational consequence: at 10 inference windows per second, the ST-GCN's per-window FAR generates approximately 2,640 false alerts per hour of monitoring, while the fusion model reduces this to 420 per hour, and the four-layer post-processing stack reduces it further to near zero in sustained-monitoring conditions. This quantified reduction is the critical difference between a system that caregivers engage with and one they learn to ignore.</w:t>
      </w:r>
    </w:p>
    <w:p>
      <w:pPr>
        <w:spacing w:before="0" w:after="80"/>
        <w:ind w:firstLine="280"/>
        <w:jc w:val="both"/>
      </w:pPr>
      <w:r>
        <w:rPr>
          <w:rFonts w:ascii="Times New Roman" w:hAnsi="Times New Roman"/>
          <w:b w:val="0"/>
          <w:i w:val="0"/>
          <w:sz w:val="20"/>
        </w:rPr>
        <w:t>The domain shift findings (Table IV and Table V) have broad implications for the fall detection literature. Table IV demonstrates that even lab-to-lab transfer (NTU → UR, both controlled environments) causes ROC-AUC collapse to 0.410. The lab-to-deployment gap (public benchmark → real ward camera) is expected to be at least as severe, since real hospital environments introduce additional variability (ceiling mounting, variable lighting, patient clothing, background clutter) absent from any public dataset [4][9]. Systems reporting only public-dataset results are therefore reporting best-case laboratory performance. The webcam fine-tuning pipeline addresses this by providing a practical, site-specific adaptation step: 93 in-house clips suffice to recover ROC-AUC from near-chance to 0.8527 (Table V). This pipeline is a core architectural feature—not a post-hoc fix—and is re-runnable for any new deployment site or camera configuration.</w:t>
      </w:r>
    </w:p>
    <w:p>
      <w:pPr>
        <w:spacing w:before="0" w:after="80"/>
        <w:ind w:firstLine="280"/>
        <w:jc w:val="both"/>
      </w:pPr>
      <w:r>
        <w:rPr>
          <w:rFonts w:ascii="Times New Roman" w:hAnsi="Times New Roman"/>
          <w:b w:val="0"/>
          <w:i w:val="0"/>
          <w:sz w:val="20"/>
        </w:rPr>
        <w:t>The zone-aware context engine represents the first integration of supervisor-configured spatial context into a skeleton-based fall detection pipeline. Its additive modifier design preserves the post-processing stack's modularity—zone logic can be modified by clinical staff via the web configuration interface without requiring model retraining.</w:t>
      </w:r>
    </w:p>
    <w:p>
      <w:pPr>
        <w:spacing w:before="0" w:after="120"/>
        <w:ind w:firstLine="280"/>
        <w:jc w:val="both"/>
      </w:pPr>
      <w:r>
        <w:rPr>
          <w:rFonts w:ascii="Times New Roman" w:hAnsi="Times New Roman"/>
          <w:b w:val="0"/>
          <w:i w:val="0"/>
          <w:sz w:val="20"/>
        </w:rPr>
        <w:t>The primary limitation is the small in-house webcam dataset (58 clips). Sensitivity at the deployed operating threshold (θ = 0.60) is 80.00%, meaning approximately 27% of falls would not immediately trigger an alert at this threshold in short rapid fall events. Expansion of the in-house dataset through additional recording sessions is the primary path to closing this sensitivity gap before clinical deployment.</w:t>
      </w:r>
    </w:p>
    <w:p>
      <w:pPr>
        <w:pStyle w:val="Heading2"/>
        <w:jc w:val="left"/>
      </w:pPr>
      <w:r>
        <w:rPr>
          <w:rFonts w:ascii="Times New Roman" w:hAnsi="Times New Roman"/>
          <w:color w:val="000000"/>
        </w:rPr>
        <w:t>V.  Conclusion and Novel Contributions</w:t>
      </w:r>
    </w:p>
    <w:p>
      <w:pPr>
        <w:spacing w:before="0" w:after="120"/>
        <w:ind w:firstLine="280"/>
        <w:jc w:val="both"/>
      </w:pPr>
      <w:r>
        <w:rPr>
          <w:rFonts w:ascii="Times New Roman" w:hAnsi="Times New Roman"/>
          <w:b w:val="0"/>
          <w:i w:val="0"/>
          <w:sz w:val="20"/>
        </w:rPr>
        <w:t xml:space="preserve">This component makes four novel contributions to the fall detection literature. (1) The first explicit quantification of domain shift between public laboratory skeleton datasets and real ward-camera footage (ROC-AUC collapse from 0.984 to 0.410), with a lightweight fine-tuning pipeline that recovers generalisation to 0.8527 using only 58 clips—demonstrating that deployment-time domain adaptation is necessary and achievable. (2) A zone-aware context engine integrating supervisor-configured spatial zones and posture-aware risk modifiers, the first such integration into a skeleton-based fall detection pipeline. (3) A novel biomechanical feature F13 (torso oscillation blend) combining sway amplitude and oscillation frequency to capture high-frequency low-amplitude postural instability that standard deviation features alone cannot detect [18]. (4) A four-layer post-processing stack (EMA + dwell timer + cooldown + zone modifier) that reduces per-window FAR from 4.41% to 0.70%, with operational impact explicitly quantified as a reduction from 2,640 to 420 false alerts per monitoring hour.</w:t>
      </w:r>
    </w:p>
    <w:p>
      <w:pPr>
        <w:pStyle w:val="Heading2"/>
        <w:jc w:val="left"/>
      </w:pPr>
      <w:r>
        <w:rPr>
          <w:rFonts w:ascii="Times New Roman" w:hAnsi="Times New Roman"/>
          <w:color w:val="000000"/>
        </w:rPr>
        <w:t>References</w:t>
      </w:r>
    </w:p>
    <w:p>
      <w:pPr>
        <w:spacing w:after="40" w:before="40"/>
        <w:ind w:left="360" w:hanging="360"/>
      </w:pPr>
      <w:r>
        <w:rPr>
          <w:rFonts w:ascii="Times New Roman" w:hAnsi="Times New Roman"/>
          <w:sz w:val="18"/>
        </w:rPr>
        <w:t>[1] S. Liu et al., "NTU RGB+D: A Large Scale Dataset for 3D Human Activity Analysis," in Proc. IEEE CVPR, Las Vegas, NV, 2016, pp. 1010–1019.</w:t>
      </w:r>
    </w:p>
    <w:p>
      <w:pPr>
        <w:spacing w:after="40" w:before="40"/>
        <w:ind w:left="360" w:hanging="360"/>
      </w:pPr>
      <w:r>
        <w:rPr>
          <w:rFonts w:ascii="Times New Roman" w:hAnsi="Times New Roman"/>
          <w:sz w:val="18"/>
        </w:rPr>
        <w:t>[2] S. Yan, Y. Xiong, and D. Lin, "Spatial Temporal Graph Convolutional Networks for Skeleton-Based Action Recognition," in Proc. AAAI Conf. Artif. Intell., New Orleans, LA, 2018.</w:t>
      </w:r>
    </w:p>
    <w:p>
      <w:pPr>
        <w:spacing w:after="40" w:before="40"/>
        <w:ind w:left="360" w:hanging="360"/>
      </w:pPr>
      <w:r>
        <w:rPr>
          <w:rFonts w:ascii="Times New Roman" w:hAnsi="Times New Roman"/>
          <w:sz w:val="18"/>
        </w:rPr>
        <w:t>[3] B. Kwolek and M. Kepski, "Human Fall Detection on Embedded Platform Using Depth Maps and Wireless Accelerometer," Comput. Methods Programs Biomed., vol. 117, no. 3, pp. 489–501, Dec. 2014.</w:t>
      </w:r>
    </w:p>
    <w:p>
      <w:pPr>
        <w:spacing w:after="40" w:before="40"/>
        <w:ind w:left="360" w:hanging="360"/>
      </w:pPr>
      <w:r>
        <w:rPr>
          <w:rFonts w:ascii="Times New Roman" w:hAnsi="Times New Roman"/>
          <w:sz w:val="18"/>
        </w:rPr>
        <w:t>[4] A. Torralba and A. A. Efros, "Unbiased Look at Dataset Bias," in Proc. IEEE CVPR, Colorado Springs, CO, 2011, pp. 1521–1528.</w:t>
      </w:r>
    </w:p>
    <w:p>
      <w:pPr>
        <w:spacing w:after="40" w:before="40"/>
        <w:ind w:left="360" w:hanging="360"/>
      </w:pPr>
      <w:r>
        <w:rPr>
          <w:rFonts w:ascii="Times New Roman" w:hAnsi="Times New Roman"/>
          <w:sz w:val="18"/>
        </w:rPr>
        <w:t>[5] L. D. Gillespie et al., "Interventions for Preventing Falls in Older People Living in the Community," Cochrane Database Syst. Rev., no. 9, Art. no. CD007146, Sep. 2012.</w:t>
      </w:r>
    </w:p>
    <w:p>
      <w:pPr>
        <w:spacing w:after="40" w:before="40"/>
        <w:ind w:left="360" w:hanging="360"/>
      </w:pPr>
      <w:r>
        <w:rPr>
          <w:rFonts w:ascii="Times New Roman" w:hAnsi="Times New Roman"/>
          <w:sz w:val="18"/>
        </w:rPr>
        <w:t>[6] World Health Organization, WHO Global Report on Falls Prevention in Older Age. Geneva: WHO Press, 2007.</w:t>
      </w:r>
    </w:p>
    <w:p>
      <w:pPr>
        <w:spacing w:after="40" w:before="40"/>
        <w:ind w:left="360" w:hanging="360"/>
      </w:pPr>
      <w:r>
        <w:rPr>
          <w:rFonts w:ascii="Times New Roman" w:hAnsi="Times New Roman"/>
          <w:sz w:val="18"/>
        </w:rPr>
        <w:t>[7] J. Chen, K. Kwong, D. Chang, J. Luk, and R. Bajcsy, "Wearable Sensors for Reliable Fall Detection," in Proc. 27th IEEE Annu. Int. Conf. Eng. Med. Biol. Soc. (EMBC), Shanghai, China, 2005, pp. 3551–3554.</w:t>
      </w:r>
    </w:p>
    <w:p>
      <w:pPr>
        <w:spacing w:after="40" w:before="40"/>
        <w:ind w:left="360" w:hanging="360"/>
      </w:pPr>
      <w:r>
        <w:rPr>
          <w:rFonts w:ascii="Times New Roman" w:hAnsi="Times New Roman"/>
          <w:sz w:val="18"/>
        </w:rPr>
        <w:t>[8] B. Kwolek and M. Kepski, "Improving Fall Detection by the Use of Depth Sensor and Accelerometer," Neurocomputing, vol. 168, pp. 637–645, Nov. 2015.</w:t>
      </w:r>
    </w:p>
    <w:p>
      <w:pPr>
        <w:spacing w:after="40" w:before="40"/>
        <w:ind w:left="360" w:hanging="360"/>
      </w:pPr>
      <w:r>
        <w:rPr>
          <w:rFonts w:ascii="Times New Roman" w:hAnsi="Times New Roman"/>
          <w:sz w:val="18"/>
        </w:rPr>
        <w:t>[9] G. Csurka, "Domain Adaptation for Visual Applications: A Comprehensive Survey," arXiv preprint arXiv:1702.05374, Feb. 2017.</w:t>
      </w:r>
    </w:p>
    <w:p>
      <w:pPr>
        <w:spacing w:after="40" w:before="40"/>
        <w:ind w:left="360" w:hanging="360"/>
      </w:pPr>
      <w:r>
        <w:rPr>
          <w:rFonts w:ascii="Times New Roman" w:hAnsi="Times New Roman"/>
          <w:sz w:val="18"/>
        </w:rPr>
        <w:t>[10] R. E. Tideiksaar, Falls in Older Persons: Prevention and Management, 4th ed. Baltimore, MD: Health Professions Press, 2010.</w:t>
      </w:r>
    </w:p>
    <w:p>
      <w:pPr>
        <w:spacing w:after="40" w:before="40"/>
        <w:ind w:left="360" w:hanging="360"/>
      </w:pPr>
      <w:r>
        <w:rPr>
          <w:rFonts w:ascii="Times New Roman" w:hAnsi="Times New Roman"/>
          <w:sz w:val="18"/>
        </w:rPr>
        <w:t>[11] G. B. Moody and R. G. Mark, "Alarm Fatigue: Evidence and Best Practices for Critical Care," AACN Adv. Crit. Care, vol. 28, no. 1, pp. 14–21, Jan. 2017.</w:t>
      </w:r>
    </w:p>
    <w:p>
      <w:pPr>
        <w:spacing w:after="40" w:before="40"/>
        <w:ind w:left="360" w:hanging="360"/>
      </w:pPr>
      <w:r>
        <w:rPr>
          <w:rFonts w:ascii="Times New Roman" w:hAnsi="Times New Roman"/>
          <w:sz w:val="18"/>
        </w:rPr>
        <w:t>[12] C. Lugaresi et al., "MediaPipe: A Framework for Perceiving and Processing Reality," in Proc. 3rd Workshop Comput. Vis. Augmented Mixed Reality (CV4ARVR), Long Beach, CA, 2019.</w:t>
      </w:r>
    </w:p>
    <w:p>
      <w:pPr>
        <w:spacing w:after="40" w:before="40"/>
        <w:ind w:left="360" w:hanging="360"/>
      </w:pPr>
      <w:r>
        <w:rPr>
          <w:rFonts w:ascii="Times New Roman" w:hAnsi="Times New Roman"/>
          <w:sz w:val="18"/>
        </w:rPr>
        <w:t>[13] I. Goodfellow, Y. Bengio, and A. Courville, Deep Learning. Cambridge, MA: MIT Press, 2016.</w:t>
      </w:r>
    </w:p>
    <w:p>
      <w:pPr>
        <w:spacing w:after="40" w:before="40"/>
        <w:ind w:left="360" w:hanging="360"/>
      </w:pPr>
      <w:r>
        <w:rPr>
          <w:rFonts w:ascii="Times New Roman" w:hAnsi="Times New Roman"/>
          <w:sz w:val="18"/>
        </w:rPr>
        <w:t>[14] Z. Cao, G. Hidalgo, T. Simon, S.-E. Wei, and Y. Sheikh, "OpenPose: Realtime Multi-Person 2D Pose Estimation Using Part Affinity Fields," IEEE Trans. Pattern Anal. Mach. Intell., vol. 43, no. 1, pp. 172–186, Jan. 2021.</w:t>
      </w:r>
    </w:p>
    <w:p>
      <w:pPr>
        <w:spacing w:after="40" w:before="40"/>
        <w:ind w:left="360" w:hanging="360"/>
      </w:pPr>
      <w:r>
        <w:rPr>
          <w:rFonts w:ascii="Times New Roman" w:hAnsi="Times New Roman"/>
          <w:sz w:val="18"/>
        </w:rPr>
        <w:t>[15] H.-S. Fang et al., "AlphaPose: Whole-Body Regional Multi-Person Pose Estimation and Tracking in Real-Time," IEEE Trans. Pattern Anal. Mach. Intell., vol. 45, no. 6, pp. 7157–7173, Jun. 2023.</w:t>
      </w:r>
    </w:p>
    <w:p>
      <w:pPr>
        <w:spacing w:after="40" w:before="40"/>
        <w:ind w:left="360" w:hanging="360"/>
      </w:pPr>
      <w:r>
        <w:rPr>
          <w:rFonts w:ascii="Times New Roman" w:hAnsi="Times New Roman"/>
          <w:sz w:val="18"/>
        </w:rPr>
        <w:t>[16] M. Ye, Q. Zhang, L. Wang, J. Zhu, R. Yang, and J. Gall, "A Survey on Human Motion Analysis from Depth Data," in Time-of-Flight and Depth Imaging, M. Grzegorzek et al., Eds. Berlin: Springer, 2013, pp. 149–187.</w:t>
      </w:r>
    </w:p>
    <w:p>
      <w:pPr>
        <w:spacing w:after="40" w:before="40"/>
        <w:ind w:left="360" w:hanging="360"/>
      </w:pPr>
      <w:r>
        <w:rPr>
          <w:rFonts w:ascii="Times New Roman" w:hAnsi="Times New Roman"/>
          <w:sz w:val="18"/>
        </w:rPr>
        <w:t>[17] L. Igual, C. Medina, C. Piella, X. Cortés, and J. Vitrià, "Robust Human Fall Detection in Depth Sensor Videos," in Proc. IEEE Int. Conf. Comput. Vis. Workshops (ICCVW), Sydney, NSW, Australia, 2013.</w:t>
      </w:r>
    </w:p>
    <w:p>
      <w:pPr>
        <w:spacing w:after="40" w:before="40"/>
        <w:ind w:left="360" w:hanging="360"/>
      </w:pPr>
      <w:r>
        <w:rPr>
          <w:rFonts w:ascii="Times New Roman" w:hAnsi="Times New Roman"/>
          <w:sz w:val="18"/>
        </w:rPr>
        <w:t>[18] M. Mancini et al., "Trunk Accelerometry Reveals Postural Instability in Untreated Parkinson Disease," Parkinsonism Relat. Disord., vol. 17, no. 7, pp. 557–562, Aug. 2011.</w:t>
      </w:r>
    </w:p>
    <w:p>
      <w:pPr>
        <w:spacing w:after="40" w:before="40"/>
        <w:ind w:left="360" w:hanging="360"/>
      </w:pPr>
      <w:r>
        <w:rPr>
          <w:rFonts w:ascii="Times New Roman" w:hAnsi="Times New Roman"/>
          <w:sz w:val="18"/>
        </w:rPr>
        <w:t>[19] T. Theodoridis and V. Solachidis, "Fall Detection Using Body Movement Features," in Proc. IEEE Int. Symp. Signal Process. Inf. Technol. (ISSPIT), Ajman, UAE, 2019.</w:t>
      </w:r>
    </w:p>
    <w:p>
      <w:pPr>
        <w:spacing w:after="40" w:before="40"/>
        <w:ind w:left="360" w:hanging="360"/>
      </w:pPr>
      <w:r>
        <w:rPr>
          <w:rFonts w:ascii="Times New Roman" w:hAnsi="Times New Roman"/>
          <w:sz w:val="18"/>
        </w:rPr>
        <w:t>[20] D. Sunday, "Inclusion of a Point in a Polygon," Geometry Algorithms, 2012. [Online]. Available: http://geomalgorithms.com</w:t>
      </w:r>
    </w:p>
    <w:p>
      <w:pPr>
        <w:spacing w:after="40" w:before="40"/>
        <w:ind w:left="360" w:hanging="360"/>
      </w:pPr>
      <w:r>
        <w:rPr>
          <w:rFonts w:ascii="Times New Roman" w:hAnsi="Times New Roman"/>
          <w:sz w:val="18"/>
        </w:rPr>
        <w:t>[21] S. M. Lundberg and S.-I. Lee, "A Unified Approach to Interpreting Model Predictions," in Proc. Adv. Neural Inf. Process. Syst. (NeurIPS), Long Beach, CA, 2017, pp. 4765–4774.</w:t>
      </w:r>
    </w:p>
    <w:p>
      <w:pPr>
        <w:spacing w:after="40" w:before="40"/>
        <w:ind w:left="360" w:hanging="360"/>
      </w:pPr>
      <w:r>
        <w:rPr>
          <w:rFonts w:ascii="Times New Roman" w:hAnsi="Times New Roman"/>
          <w:sz w:val="18"/>
        </w:rPr>
        <w:t>[22] European Commission, "Proposal for a Regulation on Artificial Intelligence (AI Act)," COM(2021) 206 final, Brussels, 2021.</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