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0000"/>
          <w:sz w:val="32"/>
          <w:szCs w:val="32"/>
        </w:rPr>
        <w:t xml:space="preserve">Pricer d'Options Européennes avec Analyse des Grecques</w:t>
      </w:r>
    </w:p>
    <w:p>
      <w:pPr>
        <w:spacing w:after="200"/>
      </w:pPr>
      <w:r>
        <w:rPr>
          <w:rFonts w:ascii="Arial" w:cs="Arial" w:eastAsia="Arial" w:hAnsi="Arial"/>
          <w:b w:val="false"/>
          <w:bCs w:val="false"/>
          <w:i/>
          <w:iCs/>
          <w:color w:val="000000"/>
          <w:sz w:val="22"/>
          <w:szCs w:val="22"/>
        </w:rPr>
        <w:t xml:space="preserve">Projet Python — Finance de Marché / Risques Equity Derivatives</w:t>
      </w:r>
    </w:p>
    <w:p>
      <w:pPr>
        <w:pStyle w:val="Heading2"/>
      </w:pPr>
      <w:r>
        <w:rPr>
          <w:rFonts w:ascii="Arial" w:cs="Arial" w:eastAsia="Arial" w:hAnsi="Arial"/>
          <w:b/>
          <w:bCs/>
          <w:color w:val="000000"/>
          <w:sz w:val="26"/>
          <w:szCs w:val="26"/>
        </w:rPr>
        <w:t xml:space="preserve">Contexte et objectif</w:t>
      </w:r>
    </w:p>
    <w:p>
      <w:pPr>
        <w:spacing w:after="160"/>
      </w:pPr>
      <w:r>
        <w:rPr>
          <w:rFonts w:ascii="Arial" w:cs="Arial" w:eastAsia="Arial" w:hAnsi="Arial"/>
          <w:color w:val="000000"/>
          <w:sz w:val="24"/>
          <w:szCs w:val="24"/>
        </w:rPr>
        <w:t xml:space="preserve">Ce projet consiste à construire un pricer d'options européennes de type Call et Put en Python, en implémentant le modèle de Black-Scholes. L'objectif est de calculer le prix théorique d'une option ainsi que l'ensemble de ses sensibilités de marché, communément appelées les grecques, et de simuler des scénarios de stress sur la volatilité afin d'évaluer l'impact potentiel sur le P&amp;L.</w:t>
      </w:r>
    </w:p>
    <w:p>
      <w:pPr>
        <w:spacing w:after="200"/>
      </w:pPr>
      <w:r>
        <w:rPr>
          <w:rFonts w:ascii="Arial" w:cs="Arial" w:eastAsia="Arial" w:hAnsi="Arial"/>
          <w:color w:val="000000"/>
          <w:sz w:val="24"/>
          <w:szCs w:val="24"/>
        </w:rPr>
        <w:t xml:space="preserve">Ce type d'outil est directement applicable en gestion des risques sur produits dérivés actions, notamment pour l'analyse des sensibilités, le calcul de réserves et l'amélioration des explications de P&amp;L.</w:t>
      </w:r>
    </w:p>
    <w:p>
      <w:pPr>
        <w:pStyle w:val="Heading2"/>
      </w:pPr>
      <w:r>
        <w:rPr>
          <w:rFonts w:ascii="Arial" w:cs="Arial" w:eastAsia="Arial" w:hAnsi="Arial"/>
          <w:b/>
          <w:bCs/>
          <w:color w:val="000000"/>
          <w:sz w:val="26"/>
          <w:szCs w:val="26"/>
        </w:rPr>
        <w:t xml:space="preserve">Le modèle de Black-Scholes</w:t>
      </w:r>
    </w:p>
    <w:p>
      <w:pPr>
        <w:spacing w:after="160"/>
      </w:pPr>
      <w:r>
        <w:rPr>
          <w:rFonts w:ascii="Arial" w:cs="Arial" w:eastAsia="Arial" w:hAnsi="Arial"/>
          <w:color w:val="000000"/>
          <w:sz w:val="24"/>
          <w:szCs w:val="24"/>
        </w:rPr>
        <w:t xml:space="preserve">Le modèle de Black-Scholes permet de calculer le prix théorique d'une option européenne à partir de cinq paramètres : le prix spot de l'actif sous-jacent (S), le prix d'exercice ou strike (K), la maturité résiduelle exprimée en années (T), le taux d'intérêt sans risque (r) et la volatilité implicite de l'actif (σ).</w:t>
      </w:r>
    </w:p>
    <w:p>
      <w:pPr>
        <w:spacing w:after="160"/>
      </w:pPr>
      <w:r>
        <w:rPr>
          <w:rFonts w:ascii="Arial" w:cs="Arial" w:eastAsia="Arial" w:hAnsi="Arial"/>
          <w:color w:val="000000"/>
          <w:sz w:val="24"/>
          <w:szCs w:val="24"/>
        </w:rPr>
        <w:t xml:space="preserve">Le prix est calculé à partir des variables intermédiaires d1 et d2, qui mesurent respectivement la distance normalisée entre le spot et le strike, et la probabilité risque-neutre que l'option soit exercée à maturité. Ces variables permettent ensuite d'exprimer analytiquement le prix et chaque grecque.</w:t>
      </w:r>
    </w:p>
    <w:p>
      <w:pPr>
        <w:spacing w:after="200"/>
      </w:pPr>
      <w:r>
        <w:rPr>
          <w:rFonts w:ascii="Arial" w:cs="Arial" w:eastAsia="Arial" w:hAnsi="Arial"/>
          <w:color w:val="000000"/>
          <w:sz w:val="24"/>
          <w:szCs w:val="24"/>
        </w:rPr>
        <w:t xml:space="preserve">L'implémentation Python s'appuie sur les librairies NumPy pour le calcul vectoriel et SciPy pour les fonctions de la loi normale, permettant une exécution rapide sur l'ensemble d'un portefeuille.</w:t>
      </w:r>
    </w:p>
    <w:p>
      <w:pPr>
        <w:pStyle w:val="Heading2"/>
      </w:pPr>
      <w:r>
        <w:rPr>
          <w:rFonts w:ascii="Arial" w:cs="Arial" w:eastAsia="Arial" w:hAnsi="Arial"/>
          <w:b/>
          <w:bCs/>
          <w:color w:val="000000"/>
          <w:sz w:val="26"/>
          <w:szCs w:val="26"/>
        </w:rPr>
        <w:t xml:space="preserve">Les grecques : définition et interprétation</w:t>
      </w:r>
    </w:p>
    <w:p>
      <w:pPr>
        <w:spacing w:after="160"/>
      </w:pPr>
      <w:r>
        <w:rPr>
          <w:rFonts w:ascii="Arial" w:cs="Arial" w:eastAsia="Arial" w:hAnsi="Arial"/>
          <w:color w:val="000000"/>
          <w:sz w:val="24"/>
          <w:szCs w:val="24"/>
        </w:rPr>
        <w:t xml:space="preserve">Les grecques mesurent la sensibilité du prix de l'option à la variation de chacun de ses paramètres d'entrée. Elles sont au cœur du suivi quotidien des risques dans un desk equity derivatives.</w:t>
      </w:r>
    </w:p>
    <w:p>
      <w:pPr>
        <w:pStyle w:val="ListParagraph"/>
        <w:numPr>
          <w:ilvl w:val="0"/>
          <w:numId w:val="2"/>
        </w:numPr>
      </w:pPr>
      <w:r>
        <w:rPr>
          <w:rFonts w:ascii="Arial" w:cs="Arial" w:eastAsia="Arial" w:hAnsi="Arial"/>
          <w:b/>
          <w:bCs/>
          <w:color w:val="000000"/>
          <w:sz w:val="24"/>
          <w:szCs w:val="24"/>
        </w:rPr>
        <w:t xml:space="preserve">Delta (Δ)</w:t>
      </w:r>
      <w:r>
        <w:rPr>
          <w:rFonts w:ascii="Arial" w:cs="Arial" w:eastAsia="Arial" w:hAnsi="Arial"/>
          <w:color w:val="000000"/>
          <w:sz w:val="24"/>
          <w:szCs w:val="24"/>
        </w:rPr>
        <w:t xml:space="preserve"> : sensibilité du prix de l'option à une variation de un euro du sous-jacent. Un delta de 0,60 signifie que l'option gagne environ 0,60 € si le spot monte de 1 €. Le delta est borné entre 0 et 1 pour un call, entre -1 et 0 pour un put. Il permet de construire une couverture delta-neutre du portefeuille.</w:t>
      </w:r>
    </w:p>
    <w:p>
      <w:pPr>
        <w:pStyle w:val="ListParagraph"/>
        <w:numPr>
          <w:ilvl w:val="0"/>
          <w:numId w:val="2"/>
        </w:numPr>
      </w:pPr>
      <w:r>
        <w:rPr>
          <w:rFonts w:ascii="Arial" w:cs="Arial" w:eastAsia="Arial" w:hAnsi="Arial"/>
          <w:b/>
          <w:bCs/>
          <w:color w:val="000000"/>
          <w:sz w:val="24"/>
          <w:szCs w:val="24"/>
        </w:rPr>
        <w:t xml:space="preserve">Gamma (Γ)</w:t>
      </w:r>
      <w:r>
        <w:rPr>
          <w:rFonts w:ascii="Arial" w:cs="Arial" w:eastAsia="Arial" w:hAnsi="Arial"/>
          <w:color w:val="000000"/>
          <w:sz w:val="24"/>
          <w:szCs w:val="24"/>
        </w:rPr>
        <w:t xml:space="preserve"> : dérivée seconde du prix par rapport au spot, autrement dit la vitesse à laquelle le delta change. Un gamma élevé indique que le delta est instable et que la couverture doit être ajustée fréquemment. Le gamma est maximum lorsque l'option est à la monnaie.</w:t>
      </w:r>
    </w:p>
    <w:p>
      <w:pPr>
        <w:pStyle w:val="ListParagraph"/>
        <w:numPr>
          <w:ilvl w:val="0"/>
          <w:numId w:val="2"/>
        </w:numPr>
      </w:pPr>
      <w:r>
        <w:rPr>
          <w:rFonts w:ascii="Arial" w:cs="Arial" w:eastAsia="Arial" w:hAnsi="Arial"/>
          <w:b/>
          <w:bCs/>
          <w:color w:val="000000"/>
          <w:sz w:val="24"/>
          <w:szCs w:val="24"/>
        </w:rPr>
        <w:t xml:space="preserve">Vega (ν)</w:t>
      </w:r>
      <w:r>
        <w:rPr>
          <w:rFonts w:ascii="Arial" w:cs="Arial" w:eastAsia="Arial" w:hAnsi="Arial"/>
          <w:color w:val="000000"/>
          <w:sz w:val="24"/>
          <w:szCs w:val="24"/>
        </w:rPr>
        <w:t xml:space="preserve"> : sensibilité du prix à une variation de 1 % de la volatilité implicite. C'est la grecque la plus surveillée sur un book d'options, car les portefeuilles equity derivatives sont souvent exposés à des variations du niveau ou de la surface de volatilité.</w:t>
      </w:r>
    </w:p>
    <w:p>
      <w:pPr>
        <w:pStyle w:val="ListParagraph"/>
        <w:numPr>
          <w:ilvl w:val="0"/>
          <w:numId w:val="2"/>
        </w:numPr>
      </w:pPr>
      <w:r>
        <w:rPr>
          <w:rFonts w:ascii="Arial" w:cs="Arial" w:eastAsia="Arial" w:hAnsi="Arial"/>
          <w:b/>
          <w:bCs/>
          <w:color w:val="000000"/>
          <w:sz w:val="24"/>
          <w:szCs w:val="24"/>
        </w:rPr>
        <w:t xml:space="preserve">Theta (Θ)</w:t>
      </w:r>
      <w:r>
        <w:rPr>
          <w:rFonts w:ascii="Arial" w:cs="Arial" w:eastAsia="Arial" w:hAnsi="Arial"/>
          <w:color w:val="000000"/>
          <w:sz w:val="24"/>
          <w:szCs w:val="24"/>
        </w:rPr>
        <w:t xml:space="preserve"> : érosion quotidienne de la valeur temps de l'option. Le theta est généralement négatif : l'option perd de la valeur chaque jour qui passe, toutes choses égales par ailleurs. Il est particulièrement important pour le suivi du P&amp;L journalier.</w:t>
      </w:r>
    </w:p>
    <w:p>
      <w:pPr>
        <w:pStyle w:val="ListParagraph"/>
        <w:numPr>
          <w:ilvl w:val="0"/>
          <w:numId w:val="2"/>
        </w:numPr>
        <w:spacing w:after="200"/>
      </w:pPr>
      <w:r>
        <w:rPr>
          <w:rFonts w:ascii="Arial" w:cs="Arial" w:eastAsia="Arial" w:hAnsi="Arial"/>
          <w:b/>
          <w:bCs/>
          <w:color w:val="000000"/>
          <w:sz w:val="24"/>
          <w:szCs w:val="24"/>
        </w:rPr>
        <w:t xml:space="preserve">Rho (ρ)</w:t>
      </w:r>
      <w:r>
        <w:rPr>
          <w:rFonts w:ascii="Arial" w:cs="Arial" w:eastAsia="Arial" w:hAnsi="Arial"/>
          <w:color w:val="000000"/>
          <w:sz w:val="24"/>
          <w:szCs w:val="24"/>
        </w:rPr>
        <w:t xml:space="preserve"> : sensibilité du prix à une variation de 1 point de base du taux sans risque. Pour les options à longue maturité, le rho peut devenir significatif dans un environnement de taux changeant.</w:t>
      </w:r>
    </w:p>
    <w:p>
      <w:pPr>
        <w:pStyle w:val="Heading2"/>
      </w:pPr>
      <w:r>
        <w:rPr>
          <w:rFonts w:ascii="Arial" w:cs="Arial" w:eastAsia="Arial" w:hAnsi="Arial"/>
          <w:b/>
          <w:bCs/>
          <w:color w:val="000000"/>
          <w:sz w:val="26"/>
          <w:szCs w:val="26"/>
        </w:rPr>
        <w:t xml:space="preserve">Stress test sur la volatilité</w:t>
      </w:r>
    </w:p>
    <w:p>
      <w:pPr>
        <w:spacing w:after="160"/>
      </w:pPr>
      <w:r>
        <w:rPr>
          <w:rFonts w:ascii="Arial" w:cs="Arial" w:eastAsia="Arial" w:hAnsi="Arial"/>
          <w:color w:val="000000"/>
          <w:sz w:val="24"/>
          <w:szCs w:val="24"/>
        </w:rPr>
        <w:t xml:space="preserve">Le module de stress test simule des chocs sur la volatilité de ±10 %, ±20 % et ±30 % autour du niveau central. Pour chaque scénario, le projet recalcule le prix de l'option et affiche l'impact en termes de P&amp;L par rapport au scénario de base.</w:t>
      </w:r>
    </w:p>
    <w:p>
      <w:pPr>
        <w:spacing w:after="200"/>
      </w:pPr>
      <w:r>
        <w:rPr>
          <w:rFonts w:ascii="Arial" w:cs="Arial" w:eastAsia="Arial" w:hAnsi="Arial"/>
          <w:color w:val="000000"/>
          <w:sz w:val="24"/>
          <w:szCs w:val="24"/>
        </w:rPr>
        <w:t xml:space="preserve">Cette approche reproduit la logique des stress tests réglementaires et internes utilisés dans les équipes de gestion des risques, qui consistent à mesurer la résistance du portefeuille à des mouvements adverses de marché. Elle est complémentaire du calcul de VaR, qui quantifie la perte maximale sur un horizon donné avec un niveau de confiance fixé.</w:t>
      </w:r>
    </w:p>
    <w:p>
      <w:pPr>
        <w:pStyle w:val="Heading2"/>
      </w:pPr>
      <w:r>
        <w:rPr>
          <w:rFonts w:ascii="Arial" w:cs="Arial" w:eastAsia="Arial" w:hAnsi="Arial"/>
          <w:b/>
          <w:bCs/>
          <w:color w:val="000000"/>
          <w:sz w:val="26"/>
          <w:szCs w:val="26"/>
        </w:rPr>
        <w:t xml:space="preserve">Technologies utilisées</w:t>
      </w:r>
    </w:p>
    <w:p>
      <w:pPr>
        <w:pStyle w:val="ListParagraph"/>
        <w:numPr>
          <w:ilvl w:val="0"/>
          <w:numId w:val="2"/>
        </w:numPr>
      </w:pPr>
      <w:r>
        <w:rPr>
          <w:rFonts w:ascii="Arial" w:cs="Arial" w:eastAsia="Arial" w:hAnsi="Arial"/>
          <w:color w:val="000000"/>
          <w:sz w:val="24"/>
          <w:szCs w:val="24"/>
        </w:rPr>
        <w:t xml:space="preserve">Python 3 avec NumPy (calcul vectoriel), SciPy (loi normale) et Matplotlib (visualisation des sensibilités)</w:t>
      </w:r>
    </w:p>
    <w:p>
      <w:pPr>
        <w:pStyle w:val="ListParagraph"/>
        <w:numPr>
          <w:ilvl w:val="0"/>
          <w:numId w:val="2"/>
        </w:numPr>
      </w:pPr>
      <w:r>
        <w:rPr>
          <w:rFonts w:ascii="Arial" w:cs="Arial" w:eastAsia="Arial" w:hAnsi="Arial"/>
          <w:color w:val="000000"/>
          <w:sz w:val="24"/>
          <w:szCs w:val="24"/>
        </w:rPr>
        <w:t xml:space="preserve">Architecture modulaire : une fonction par composant (pricer, grecques, stress test, graphiques), facilitant la maintenance et l'extension</w:t>
      </w:r>
    </w:p>
    <w:p>
      <w:pPr>
        <w:pStyle w:val="ListParagraph"/>
        <w:numPr>
          <w:ilvl w:val="0"/>
          <w:numId w:val="2"/>
        </w:numPr>
        <w:spacing w:after="200"/>
      </w:pPr>
      <w:r>
        <w:rPr>
          <w:rFonts w:ascii="Arial" w:cs="Arial" w:eastAsia="Arial" w:hAnsi="Arial"/>
          <w:color w:val="000000"/>
          <w:sz w:val="24"/>
          <w:szCs w:val="24"/>
        </w:rPr>
        <w:t xml:space="preserve">Compatible avec une intégration SQL ou Excel VBA pour la production automatisée de rapports, en ligne avec les outils standard des équipes risques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2026-04-01T17:09:47.849Z</dcterms:created>
  <dcterms:modified xsi:type="dcterms:W3CDTF">2026-04-01T17:09:47.850Z</dcterms:modified>
</cp:coreProperties>
</file>

<file path=docProps/custom.xml><?xml version="1.0" encoding="utf-8"?>
<Properties xmlns="http://schemas.openxmlformats.org/officeDocument/2006/custom-properties" xmlns:vt="http://schemas.openxmlformats.org/officeDocument/2006/docPropsVTypes"/>
</file>