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0AE43" w14:textId="53A04793" w:rsidR="00D80602" w:rsidRDefault="007A4C42">
      <w:pPr>
        <w:rPr>
          <w:lang w:val="es-MX"/>
        </w:rPr>
      </w:pPr>
      <w:r>
        <w:rPr>
          <w:lang w:val="es-MX"/>
        </w:rPr>
        <w:t xml:space="preserve">REFLEXION SEMANA 9 </w:t>
      </w:r>
    </w:p>
    <w:p w14:paraId="1BC9486C" w14:textId="1F9B9579" w:rsidR="007A4C42" w:rsidRPr="007A4C42" w:rsidRDefault="007A4C42" w:rsidP="007A4C42">
      <w:pPr>
        <w:jc w:val="both"/>
        <w:rPr>
          <w:lang w:val="es-MX"/>
        </w:rPr>
      </w:pPr>
      <w:r w:rsidRPr="007A4C42">
        <w:rPr>
          <w:lang w:val="es-MX"/>
        </w:rPr>
        <w:t>Las plataformas tecnológicas que utilizan las comunidades deben funcionar de manera estable para garantizar el acceso permanente a la información y a los servicios que ofrecen. Un servidor estable evita interrupciones que puedan afectar la experiencia de los usuarios. Además, implementar medidas de seguridad protege la información personal y reduce el riesgo de ataques o accesos no autorizados. El monitoreo y los registros de actividad permiten detectar errores y corregirlos de manera oportuna. También facilitan el mantenimiento y mejoran el rendimiento del sistema. Una infraestructura confiable genera confianza entre los usuarios y fortalece la participación digital. Por ello, la estabilidad, el monitoreo y la seguridad son elementos esenciales para el correcto funcionamiento de cualquier plataforma tecnológica comunitaria.</w:t>
      </w:r>
    </w:p>
    <w:sectPr w:rsidR="007A4C42" w:rsidRPr="007A4C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42"/>
    <w:rsid w:val="007A4C42"/>
    <w:rsid w:val="00D8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511B3"/>
  <w15:chartTrackingRefBased/>
  <w15:docId w15:val="{5C5FABAC-6A6B-40C8-B259-523E6A62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2026-06-29T01:43:00Z</dcterms:created>
  <dcterms:modified xsi:type="dcterms:W3CDTF">2026-06-29T01:43:00Z</dcterms:modified>
</cp:coreProperties>
</file>