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B8224" w14:textId="5BD245EF" w:rsidR="005C3E2C" w:rsidRDefault="00C81EC8">
      <w:pPr>
        <w:rPr>
          <w:lang w:val="es-MX"/>
        </w:rPr>
      </w:pPr>
      <w:r>
        <w:rPr>
          <w:lang w:val="es-MX"/>
        </w:rPr>
        <w:t>Reflexión semana 11</w:t>
      </w:r>
    </w:p>
    <w:p w14:paraId="096EC883" w14:textId="09042F7D" w:rsidR="00C81EC8" w:rsidRPr="00C81EC8" w:rsidRDefault="00C81EC8" w:rsidP="00C81EC8">
      <w:pPr>
        <w:jc w:val="both"/>
        <w:rPr>
          <w:lang w:val="es-MX"/>
        </w:rPr>
      </w:pPr>
      <w:r w:rsidRPr="00C81EC8">
        <w:rPr>
          <w:lang w:val="es-MX"/>
        </w:rPr>
        <w:t>Una plataforma tecnológica orientada a la participación ciudadana debe contar con una base de datos para almacenar de forma organizada la información de las causas, los usuarios y los apoyos registrados. También es indispensable implementar autenticación de usuarios para garantizar que solo las personas autorizadas puedan acceder a determinadas funciones y proteger la integridad del sistema. La protección de la información es fundamental para preservar la privacidad de los ciudadanos y evitar el uso indebido de sus datos personales. Además, estas medidas fortalecen la confianza de la comunidad en la plataforma y promueven una participación responsable. Una solución tecnológica segura, transparente y bien estructurada facilita la organización colectiva, mejora la comunicación entre ciudadanos e instituciones y contribuye al fortalecimiento de la democracia y del control social.</w:t>
      </w:r>
    </w:p>
    <w:sectPr w:rsidR="00C81EC8" w:rsidRPr="00C81E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C8"/>
    <w:rsid w:val="005C3E2C"/>
    <w:rsid w:val="00C8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88D94"/>
  <w15:chartTrackingRefBased/>
  <w15:docId w15:val="{088180E3-B531-45ED-97B4-E9A76DFA3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770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2026-07-13T02:43:00Z</dcterms:created>
  <dcterms:modified xsi:type="dcterms:W3CDTF">2026-07-13T02:44:00Z</dcterms:modified>
</cp:coreProperties>
</file>