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f9f5f2"/>
        <w:pBdr>
          <w:top w:val="single" w:sz="40" w:space="0" w:color="670d00"/>
        </w:pBdr>
        <w:ind w:left="1440" w:right="1440"/>
        <w:spacing w:before="220" w:after="0"/>
      </w:pPr>
    </w:p>
    <w:p>
      <w:pPr>
        <w:shd w:val="clear" w:color="auto" w:fill="f9f5f2"/>
        <w:ind w:left="1440" w:right="1440"/>
        <w:spacing w:before="0" w:after="40"/>
      </w:pPr>
      <w:r>
        <w:rPr>
          <w:rFonts w:ascii="Georgia" w:hAnsi="Georgia"/>
          <w:b/>
          <w:color w:val="3D0800"/>
          <w:sz w:val="36"/>
        </w:rPr>
        <w:t>David Dayan-Rosenman, MD</w:t>
      </w:r>
    </w:p>
    <w:p>
      <w:pPr>
        <w:shd w:val="clear" w:color="auto" w:fill="f9f5f2"/>
        <w:ind w:left="1440" w:right="1440"/>
        <w:spacing w:before="0" w:after="20"/>
      </w:pPr>
      <w:r>
        <w:rPr>
          <w:rFonts w:ascii="Georgia" w:hAnsi="Georgia"/>
          <w:i/>
          <w:color w:val="670D00"/>
          <w:sz w:val="20"/>
        </w:rPr>
        <w:t>Board Certified in Addiction Medicine &amp; Internal Medicine</w:t>
      </w:r>
    </w:p>
    <w:p>
      <w:pPr>
        <w:shd w:val="clear" w:color="auto" w:fill="f9f5f2"/>
        <w:ind w:left="1440" w:right="1440"/>
        <w:spacing w:before="0" w:after="60"/>
      </w:pPr>
      <w:r>
        <w:rPr>
          <w:rFonts w:ascii="Georgia" w:hAnsi="Georgia"/>
          <w:i/>
          <w:color w:val="670D00"/>
          <w:sz w:val="20"/>
        </w:rPr>
        <w:t>Instructor in Psychiatry, Harvard Medical School</w:t>
      </w:r>
    </w:p>
    <w:p>
      <w:pPr>
        <w:shd w:val="clear" w:color="auto" w:fill="f9f5f2"/>
        <w:ind w:left="1440" w:right="1440"/>
        <w:spacing w:before="0" w:after="160"/>
        <w:pBdr>
          <w:bottom w:val="single" w:sz="6" w:space="4" w:color="670d00"/>
        </w:pBdr>
      </w:pPr>
      <w:r>
        <w:rPr>
          <w:rFonts w:ascii="Calibri" w:hAnsi="Calibri"/>
          <w:b/>
          <w:color w:val="8A7A72"/>
          <w:sz w:val="16"/>
        </w:rPr>
        <w:t>Mental Health &amp; Addiction Care  ·  Cambridge, MA</w:t>
      </w: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ind w:left="1440" w:right="1440"/>
        <w:spacing w:before="0" w:after="0" w:line="240" w:lineRule="exact"/>
      </w:pPr>
    </w:p>
    <w:p>
      <w:pPr>
        <w:shd w:val="clear" w:color="auto" w:fill="f9f5f2"/>
        <w:pBdr>
          <w:top w:val="single" w:sz="6" w:space="4" w:color="670d00"/>
        </w:pBdr>
        <w:ind w:left="1440" w:right="1440"/>
        <w:spacing w:before="80" w:after="80"/>
      </w:pPr>
      <w:r>
        <w:rPr>
          <w:rFonts w:ascii="Calibri" w:hAnsi="Calibri"/>
          <w:color w:val="670D00"/>
          <w:sz w:val="16"/>
        </w:rPr>
        <w:t>☎  (617) 528-0538    ✉  david@dayan-rosenman.net    ◎  1 Arnold Circle, Cambridge, MA 02139    ⊙  www.dayan-rosenman.net</w:t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