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43881" w14:textId="77777777" w:rsidR="00F46880" w:rsidRDefault="00F46880">
      <w:pPr>
        <w:pStyle w:val="BodyText"/>
        <w:spacing w:before="7"/>
        <w:jc w:val="center"/>
        <w:rPr>
          <w:sz w:val="18"/>
        </w:rPr>
      </w:pPr>
    </w:p>
    <w:p w14:paraId="19489444" w14:textId="77777777" w:rsidR="00F46880" w:rsidRDefault="00000000">
      <w:pPr>
        <w:pStyle w:val="Title"/>
        <w:spacing w:line="360" w:lineRule="auto"/>
        <w:jc w:val="center"/>
      </w:pPr>
      <w:r>
        <w:t>Federated Machine Learning for   Predicting</w:t>
      </w:r>
    </w:p>
    <w:p w14:paraId="106CC1A8" w14:textId="77777777" w:rsidR="00F46880" w:rsidRDefault="00000000">
      <w:pPr>
        <w:pStyle w:val="Title"/>
        <w:spacing w:line="360" w:lineRule="auto"/>
        <w:jc w:val="center"/>
      </w:pPr>
      <w:r>
        <w:t>Animal to Human Zoonotic Disease Outbreaks</w:t>
      </w:r>
    </w:p>
    <w:p w14:paraId="374E126A" w14:textId="77777777" w:rsidR="00F46880" w:rsidRDefault="00F46880">
      <w:pPr>
        <w:pStyle w:val="BodyText"/>
        <w:spacing w:before="54"/>
      </w:pPr>
    </w:p>
    <w:p w14:paraId="492531D1" w14:textId="77777777" w:rsidR="00F46880" w:rsidRDefault="00F46880">
      <w:pPr>
        <w:pStyle w:val="BodyText"/>
        <w:sectPr w:rsidR="00F46880">
          <w:footerReference w:type="default" r:id="rId8"/>
          <w:type w:val="continuous"/>
          <w:pgSz w:w="11920" w:h="16850"/>
          <w:pgMar w:top="640" w:right="566" w:bottom="560" w:left="708" w:header="0" w:footer="365" w:gutter="0"/>
          <w:pgNumType w:start="1"/>
          <w:cols w:space="720"/>
        </w:sectPr>
      </w:pPr>
    </w:p>
    <w:p w14:paraId="32F4F971" w14:textId="77777777" w:rsidR="00F46880" w:rsidRDefault="00000000">
      <w:pPr>
        <w:spacing w:before="92"/>
        <w:ind w:left="348" w:right="19" w:firstLine="542"/>
        <w:rPr>
          <w:i/>
          <w:sz w:val="18"/>
        </w:rPr>
      </w:pPr>
      <w:r>
        <w:rPr>
          <w:sz w:val="18"/>
        </w:rPr>
        <w:t xml:space="preserve">Mr. N. Bala Krishna </w:t>
      </w:r>
      <w:r>
        <w:rPr>
          <w:i/>
          <w:sz w:val="18"/>
        </w:rPr>
        <w:t>Assistant</w:t>
      </w:r>
      <w:r>
        <w:rPr>
          <w:i/>
          <w:spacing w:val="-7"/>
          <w:sz w:val="18"/>
        </w:rPr>
        <w:t xml:space="preserve"> </w:t>
      </w:r>
      <w:r>
        <w:rPr>
          <w:i/>
          <w:sz w:val="18"/>
        </w:rPr>
        <w:t>Professor</w:t>
      </w:r>
      <w:r>
        <w:rPr>
          <w:i/>
          <w:spacing w:val="-7"/>
          <w:sz w:val="18"/>
        </w:rPr>
        <w:t xml:space="preserve"> </w:t>
      </w:r>
      <w:r>
        <w:rPr>
          <w:i/>
          <w:sz w:val="18"/>
        </w:rPr>
        <w:t>,Department</w:t>
      </w:r>
      <w:r>
        <w:rPr>
          <w:i/>
          <w:spacing w:val="-9"/>
          <w:sz w:val="18"/>
        </w:rPr>
        <w:t xml:space="preserve"> </w:t>
      </w:r>
      <w:r>
        <w:rPr>
          <w:i/>
          <w:sz w:val="18"/>
        </w:rPr>
        <w:t>of Computer</w:t>
      </w:r>
      <w:r>
        <w:rPr>
          <w:i/>
          <w:spacing w:val="-8"/>
          <w:sz w:val="18"/>
        </w:rPr>
        <w:t xml:space="preserve"> </w:t>
      </w:r>
      <w:r>
        <w:rPr>
          <w:i/>
          <w:sz w:val="18"/>
        </w:rPr>
        <w:t>Science and</w:t>
      </w:r>
      <w:r>
        <w:rPr>
          <w:i/>
          <w:spacing w:val="4"/>
          <w:sz w:val="18"/>
        </w:rPr>
        <w:t xml:space="preserve"> </w:t>
      </w:r>
      <w:r>
        <w:rPr>
          <w:i/>
          <w:spacing w:val="-4"/>
          <w:sz w:val="18"/>
        </w:rPr>
        <w:t>Engineering</w:t>
      </w:r>
    </w:p>
    <w:p w14:paraId="7B1227B5" w14:textId="77777777" w:rsidR="00F46880" w:rsidRDefault="00000000">
      <w:pPr>
        <w:ind w:left="506" w:right="254"/>
        <w:jc w:val="center"/>
        <w:rPr>
          <w:sz w:val="18"/>
        </w:rPr>
      </w:pPr>
      <w:r>
        <w:rPr>
          <w:i/>
          <w:spacing w:val="-2"/>
          <w:sz w:val="18"/>
        </w:rPr>
        <w:t>Mohan</w:t>
      </w:r>
      <w:r>
        <w:rPr>
          <w:i/>
          <w:spacing w:val="-12"/>
          <w:sz w:val="18"/>
        </w:rPr>
        <w:t xml:space="preserve"> </w:t>
      </w:r>
      <w:r>
        <w:rPr>
          <w:i/>
          <w:spacing w:val="-2"/>
          <w:sz w:val="18"/>
        </w:rPr>
        <w:t>Babu</w:t>
      </w:r>
      <w:r>
        <w:rPr>
          <w:i/>
          <w:spacing w:val="-11"/>
          <w:sz w:val="18"/>
        </w:rPr>
        <w:t xml:space="preserve"> </w:t>
      </w:r>
      <w:r>
        <w:rPr>
          <w:i/>
          <w:spacing w:val="-2"/>
          <w:sz w:val="18"/>
        </w:rPr>
        <w:t xml:space="preserve">University </w:t>
      </w:r>
      <w:r>
        <w:rPr>
          <w:sz w:val="18"/>
        </w:rPr>
        <w:t xml:space="preserve">Tirupati, India </w:t>
      </w:r>
      <w:hyperlink r:id="rId9">
        <w:r>
          <w:rPr>
            <w:spacing w:val="-2"/>
            <w:sz w:val="18"/>
          </w:rPr>
          <w:t>balu1203@gmail.com</w:t>
        </w:r>
      </w:hyperlink>
    </w:p>
    <w:p w14:paraId="028A4BC9" w14:textId="77777777" w:rsidR="00F46880" w:rsidRDefault="00F46880">
      <w:pPr>
        <w:pStyle w:val="BodyText"/>
        <w:spacing w:before="71"/>
        <w:rPr>
          <w:sz w:val="18"/>
        </w:rPr>
      </w:pPr>
    </w:p>
    <w:p w14:paraId="0E8A0968" w14:textId="77777777" w:rsidR="00F46880" w:rsidRDefault="00000000">
      <w:pPr>
        <w:ind w:left="285" w:right="38" w:hanging="4"/>
        <w:jc w:val="center"/>
        <w:rPr>
          <w:i/>
          <w:sz w:val="18"/>
        </w:rPr>
      </w:pPr>
      <w:r>
        <w:rPr>
          <w:sz w:val="18"/>
        </w:rPr>
        <w:t xml:space="preserve">Chittannagari Reddy Kiran </w:t>
      </w: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2"/>
          <w:sz w:val="18"/>
        </w:rPr>
        <w:t xml:space="preserve"> </w:t>
      </w:r>
      <w:r>
        <w:rPr>
          <w:i/>
          <w:sz w:val="18"/>
        </w:rPr>
        <w:t>Science</w:t>
      </w:r>
      <w:r>
        <w:rPr>
          <w:i/>
          <w:spacing w:val="-11"/>
          <w:sz w:val="18"/>
        </w:rPr>
        <w:t xml:space="preserve"> </w:t>
      </w:r>
      <w:r>
        <w:rPr>
          <w:i/>
          <w:sz w:val="18"/>
        </w:rPr>
        <w:t xml:space="preserve">and </w:t>
      </w:r>
      <w:r>
        <w:rPr>
          <w:i/>
          <w:spacing w:val="-2"/>
          <w:sz w:val="18"/>
        </w:rPr>
        <w:t>Engineering</w:t>
      </w:r>
    </w:p>
    <w:p w14:paraId="609794C7" w14:textId="77777777" w:rsidR="00F46880" w:rsidRDefault="00000000">
      <w:pPr>
        <w:spacing w:before="3"/>
        <w:ind w:left="247"/>
        <w:jc w:val="center"/>
        <w:rPr>
          <w:i/>
          <w:sz w:val="18"/>
        </w:rPr>
      </w:pPr>
      <w:r>
        <w:rPr>
          <w:i/>
          <w:spacing w:val="-2"/>
          <w:sz w:val="18"/>
        </w:rPr>
        <w:t>Sree</w:t>
      </w:r>
      <w:r>
        <w:rPr>
          <w:i/>
          <w:spacing w:val="-3"/>
          <w:sz w:val="18"/>
        </w:rPr>
        <w:t xml:space="preserve"> </w:t>
      </w:r>
      <w:r>
        <w:rPr>
          <w:i/>
          <w:spacing w:val="-2"/>
          <w:sz w:val="18"/>
        </w:rPr>
        <w:t>Vidyanikethan Engineering College(Autonomous)</w:t>
      </w:r>
    </w:p>
    <w:p w14:paraId="32337767" w14:textId="77777777" w:rsidR="00F46880" w:rsidRDefault="00000000">
      <w:pPr>
        <w:spacing w:before="1"/>
        <w:ind w:left="768" w:right="521" w:firstLine="5"/>
        <w:jc w:val="center"/>
        <w:rPr>
          <w:sz w:val="18"/>
        </w:rPr>
      </w:pPr>
      <w:r>
        <w:rPr>
          <w:sz w:val="18"/>
        </w:rPr>
        <w:t xml:space="preserve">Tirupati, India </w:t>
      </w:r>
      <w:hyperlink r:id="rId10">
        <w:r>
          <w:rPr>
            <w:spacing w:val="-4"/>
            <w:sz w:val="18"/>
          </w:rPr>
          <w:t>rkreddy194@gmail.com</w:t>
        </w:r>
      </w:hyperlink>
    </w:p>
    <w:p w14:paraId="7B786D7A" w14:textId="77777777" w:rsidR="00F46880" w:rsidRDefault="00000000">
      <w:pPr>
        <w:spacing w:before="92"/>
        <w:ind w:left="1291"/>
        <w:rPr>
          <w:sz w:val="18"/>
        </w:rPr>
      </w:pPr>
      <w:r>
        <w:br w:type="column"/>
      </w:r>
      <w:r>
        <w:rPr>
          <w:sz w:val="18"/>
        </w:rPr>
        <w:t xml:space="preserve">K. </w:t>
      </w:r>
      <w:r>
        <w:rPr>
          <w:spacing w:val="-2"/>
          <w:sz w:val="18"/>
        </w:rPr>
        <w:t>Lokesh</w:t>
      </w:r>
    </w:p>
    <w:p w14:paraId="560CD0F6" w14:textId="77777777" w:rsidR="00F46880" w:rsidRDefault="00000000">
      <w:pPr>
        <w:spacing w:before="2"/>
        <w:ind w:left="285" w:right="38" w:hanging="5"/>
        <w:jc w:val="center"/>
        <w:rPr>
          <w:sz w:val="18"/>
        </w:rPr>
      </w:pPr>
      <w:r>
        <w:rPr>
          <w:i/>
          <w:sz w:val="18"/>
        </w:rPr>
        <w:t>Associate Professor ,Department of Artificial</w:t>
      </w:r>
      <w:r>
        <w:rPr>
          <w:i/>
          <w:spacing w:val="-1"/>
          <w:sz w:val="18"/>
        </w:rPr>
        <w:t xml:space="preserve"> </w:t>
      </w:r>
      <w:r>
        <w:rPr>
          <w:i/>
          <w:sz w:val="18"/>
        </w:rPr>
        <w:t>Intelligence</w:t>
      </w:r>
      <w:r>
        <w:rPr>
          <w:i/>
          <w:spacing w:val="-2"/>
          <w:sz w:val="18"/>
        </w:rPr>
        <w:t xml:space="preserve"> </w:t>
      </w:r>
      <w:r>
        <w:rPr>
          <w:i/>
          <w:sz w:val="18"/>
        </w:rPr>
        <w:t>&amp;</w:t>
      </w:r>
      <w:r>
        <w:rPr>
          <w:i/>
          <w:spacing w:val="-2"/>
          <w:sz w:val="18"/>
        </w:rPr>
        <w:t xml:space="preserve"> </w:t>
      </w:r>
      <w:r>
        <w:rPr>
          <w:i/>
          <w:sz w:val="18"/>
        </w:rPr>
        <w:t xml:space="preserve">Data Science Mother Theresa Institute of Engineering and Technology </w:t>
      </w:r>
      <w:r>
        <w:rPr>
          <w:spacing w:val="-2"/>
          <w:sz w:val="18"/>
        </w:rPr>
        <w:t xml:space="preserve">Palamaner-517408, Chittoor,AP, India </w:t>
      </w:r>
      <w:hyperlink r:id="rId11">
        <w:r>
          <w:rPr>
            <w:spacing w:val="-2"/>
            <w:sz w:val="18"/>
          </w:rPr>
          <w:t>klokesh280488@gmail.com</w:t>
        </w:r>
      </w:hyperlink>
    </w:p>
    <w:p w14:paraId="44B96015" w14:textId="77777777" w:rsidR="00F46880" w:rsidRDefault="00F46880">
      <w:pPr>
        <w:pStyle w:val="BodyText"/>
        <w:spacing w:before="150"/>
        <w:rPr>
          <w:sz w:val="18"/>
        </w:rPr>
      </w:pPr>
    </w:p>
    <w:p w14:paraId="16A7E2FE" w14:textId="77777777" w:rsidR="00F46880" w:rsidRDefault="00000000">
      <w:pPr>
        <w:ind w:left="323" w:right="77" w:hanging="1"/>
        <w:jc w:val="center"/>
        <w:rPr>
          <w:i/>
          <w:sz w:val="18"/>
        </w:rPr>
      </w:pPr>
      <w:r>
        <w:rPr>
          <w:sz w:val="18"/>
        </w:rPr>
        <w:t xml:space="preserve">Atmakur Veera Somasekhar </w:t>
      </w: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2"/>
          <w:sz w:val="18"/>
        </w:rPr>
        <w:t xml:space="preserve"> </w:t>
      </w:r>
      <w:r>
        <w:rPr>
          <w:i/>
          <w:sz w:val="18"/>
        </w:rPr>
        <w:t>Science</w:t>
      </w:r>
      <w:r>
        <w:rPr>
          <w:i/>
          <w:spacing w:val="-11"/>
          <w:sz w:val="18"/>
        </w:rPr>
        <w:t xml:space="preserve"> </w:t>
      </w:r>
      <w:r>
        <w:rPr>
          <w:i/>
          <w:sz w:val="18"/>
        </w:rPr>
        <w:t xml:space="preserve">and </w:t>
      </w:r>
      <w:r>
        <w:rPr>
          <w:i/>
          <w:spacing w:val="-2"/>
          <w:sz w:val="18"/>
        </w:rPr>
        <w:t>Engineering</w:t>
      </w:r>
    </w:p>
    <w:p w14:paraId="41BBEA30" w14:textId="77777777" w:rsidR="00F46880" w:rsidRDefault="00000000">
      <w:pPr>
        <w:spacing w:before="3"/>
        <w:ind w:left="241"/>
        <w:jc w:val="center"/>
        <w:rPr>
          <w:i/>
          <w:sz w:val="18"/>
        </w:rPr>
      </w:pPr>
      <w:r>
        <w:rPr>
          <w:i/>
          <w:spacing w:val="-2"/>
          <w:sz w:val="18"/>
        </w:rPr>
        <w:t>Sree</w:t>
      </w:r>
      <w:r>
        <w:rPr>
          <w:i/>
          <w:spacing w:val="-4"/>
          <w:sz w:val="18"/>
        </w:rPr>
        <w:t xml:space="preserve"> </w:t>
      </w:r>
      <w:r>
        <w:rPr>
          <w:i/>
          <w:spacing w:val="-2"/>
          <w:sz w:val="18"/>
        </w:rPr>
        <w:t>Vidyanikethan Engineering College(Autonomous)</w:t>
      </w:r>
    </w:p>
    <w:p w14:paraId="61140AF4" w14:textId="77777777" w:rsidR="00F46880" w:rsidRDefault="00000000">
      <w:pPr>
        <w:ind w:left="467" w:right="215" w:hanging="1"/>
        <w:jc w:val="center"/>
        <w:rPr>
          <w:sz w:val="18"/>
        </w:rPr>
      </w:pPr>
      <w:r>
        <w:rPr>
          <w:sz w:val="18"/>
        </w:rPr>
        <w:t xml:space="preserve">Tirupati, India </w:t>
      </w:r>
      <w:hyperlink r:id="rId12">
        <w:r>
          <w:rPr>
            <w:spacing w:val="-4"/>
            <w:sz w:val="18"/>
          </w:rPr>
          <w:t>atmakursomasekhar0@gmail.com</w:t>
        </w:r>
      </w:hyperlink>
    </w:p>
    <w:p w14:paraId="58F51279" w14:textId="77777777" w:rsidR="00F46880" w:rsidRDefault="00000000">
      <w:pPr>
        <w:spacing w:before="92"/>
        <w:ind w:right="123"/>
        <w:jc w:val="center"/>
        <w:rPr>
          <w:sz w:val="18"/>
        </w:rPr>
      </w:pPr>
      <w:r>
        <w:br w:type="column"/>
      </w:r>
      <w:r>
        <w:rPr>
          <w:sz w:val="18"/>
        </w:rPr>
        <w:t>Chekkera</w:t>
      </w:r>
      <w:r>
        <w:rPr>
          <w:spacing w:val="-3"/>
          <w:sz w:val="18"/>
        </w:rPr>
        <w:t xml:space="preserve"> </w:t>
      </w:r>
      <w:r>
        <w:rPr>
          <w:sz w:val="18"/>
        </w:rPr>
        <w:t>Soma</w:t>
      </w:r>
      <w:r>
        <w:rPr>
          <w:spacing w:val="-2"/>
          <w:sz w:val="18"/>
        </w:rPr>
        <w:t xml:space="preserve"> Sekhar</w:t>
      </w:r>
    </w:p>
    <w:p w14:paraId="4CD29202" w14:textId="77777777" w:rsidR="00F46880" w:rsidRDefault="00000000">
      <w:pPr>
        <w:spacing w:before="2"/>
        <w:ind w:right="123"/>
        <w:jc w:val="center"/>
        <w:rPr>
          <w:i/>
          <w:sz w:val="18"/>
        </w:rPr>
      </w:pP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2"/>
          <w:sz w:val="18"/>
        </w:rPr>
        <w:t xml:space="preserve"> </w:t>
      </w:r>
      <w:r>
        <w:rPr>
          <w:i/>
          <w:sz w:val="18"/>
        </w:rPr>
        <w:t>Science</w:t>
      </w:r>
      <w:r>
        <w:rPr>
          <w:i/>
          <w:spacing w:val="-11"/>
          <w:sz w:val="18"/>
        </w:rPr>
        <w:t xml:space="preserve"> </w:t>
      </w:r>
      <w:r>
        <w:rPr>
          <w:i/>
          <w:sz w:val="18"/>
        </w:rPr>
        <w:t xml:space="preserve">and </w:t>
      </w:r>
      <w:r>
        <w:rPr>
          <w:i/>
          <w:spacing w:val="-2"/>
          <w:sz w:val="18"/>
        </w:rPr>
        <w:t>Engineering</w:t>
      </w:r>
    </w:p>
    <w:p w14:paraId="45383FB3" w14:textId="77777777" w:rsidR="00F46880" w:rsidRDefault="00000000">
      <w:pPr>
        <w:ind w:left="417" w:right="549"/>
        <w:jc w:val="center"/>
        <w:rPr>
          <w:i/>
          <w:sz w:val="18"/>
        </w:rPr>
      </w:pPr>
      <w:r>
        <w:rPr>
          <w:i/>
          <w:sz w:val="18"/>
        </w:rPr>
        <w:t>Sree</w:t>
      </w:r>
      <w:r>
        <w:rPr>
          <w:i/>
          <w:spacing w:val="-12"/>
          <w:sz w:val="18"/>
        </w:rPr>
        <w:t xml:space="preserve"> </w:t>
      </w:r>
      <w:r>
        <w:rPr>
          <w:i/>
          <w:sz w:val="18"/>
        </w:rPr>
        <w:t>Vidyanikethan</w:t>
      </w:r>
      <w:r>
        <w:rPr>
          <w:i/>
          <w:spacing w:val="-12"/>
          <w:sz w:val="18"/>
        </w:rPr>
        <w:t xml:space="preserve"> </w:t>
      </w:r>
      <w:r>
        <w:rPr>
          <w:i/>
          <w:sz w:val="18"/>
        </w:rPr>
        <w:t>Engineering College (Autonomous)</w:t>
      </w:r>
    </w:p>
    <w:p w14:paraId="19F0A23A" w14:textId="77777777" w:rsidR="00F46880" w:rsidRDefault="00000000">
      <w:pPr>
        <w:ind w:left="285" w:right="411" w:firstLine="3"/>
        <w:jc w:val="center"/>
        <w:rPr>
          <w:sz w:val="18"/>
        </w:rPr>
      </w:pPr>
      <w:r>
        <w:rPr>
          <w:sz w:val="18"/>
        </w:rPr>
        <w:t xml:space="preserve">Tirupati, India </w:t>
      </w:r>
      <w:hyperlink r:id="rId13">
        <w:r>
          <w:rPr>
            <w:spacing w:val="-2"/>
            <w:sz w:val="18"/>
          </w:rPr>
          <w:t>chekkerasomasekhar2021@gmail.com</w:t>
        </w:r>
      </w:hyperlink>
    </w:p>
    <w:p w14:paraId="3F8C49A3" w14:textId="77777777" w:rsidR="00F46880" w:rsidRDefault="00F46880">
      <w:pPr>
        <w:pStyle w:val="BodyText"/>
        <w:spacing w:before="68"/>
        <w:rPr>
          <w:sz w:val="18"/>
        </w:rPr>
      </w:pPr>
    </w:p>
    <w:p w14:paraId="03F1BF65" w14:textId="77777777" w:rsidR="00F46880" w:rsidRDefault="00000000">
      <w:pPr>
        <w:spacing w:before="1"/>
        <w:ind w:left="2" w:right="123"/>
        <w:jc w:val="center"/>
        <w:rPr>
          <w:sz w:val="18"/>
        </w:rPr>
      </w:pPr>
      <w:r>
        <w:rPr>
          <w:sz w:val="18"/>
        </w:rPr>
        <w:t>Gajula</w:t>
      </w:r>
      <w:r>
        <w:rPr>
          <w:spacing w:val="-4"/>
          <w:sz w:val="18"/>
        </w:rPr>
        <w:t xml:space="preserve"> </w:t>
      </w:r>
      <w:r>
        <w:rPr>
          <w:sz w:val="18"/>
        </w:rPr>
        <w:t xml:space="preserve">Mohanteja </w:t>
      </w:r>
      <w:r>
        <w:rPr>
          <w:spacing w:val="-4"/>
          <w:sz w:val="18"/>
        </w:rPr>
        <w:t>Royal</w:t>
      </w:r>
    </w:p>
    <w:p w14:paraId="6C483C9D" w14:textId="77777777" w:rsidR="00F46880" w:rsidRDefault="00000000">
      <w:pPr>
        <w:spacing w:before="4"/>
        <w:ind w:right="123"/>
        <w:jc w:val="center"/>
        <w:rPr>
          <w:i/>
          <w:sz w:val="18"/>
        </w:rPr>
      </w:pP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2"/>
          <w:sz w:val="18"/>
        </w:rPr>
        <w:t xml:space="preserve"> </w:t>
      </w:r>
      <w:r>
        <w:rPr>
          <w:i/>
          <w:sz w:val="18"/>
        </w:rPr>
        <w:t>Science</w:t>
      </w:r>
      <w:r>
        <w:rPr>
          <w:i/>
          <w:spacing w:val="-11"/>
          <w:sz w:val="18"/>
        </w:rPr>
        <w:t xml:space="preserve"> </w:t>
      </w:r>
      <w:r>
        <w:rPr>
          <w:i/>
          <w:sz w:val="18"/>
        </w:rPr>
        <w:t xml:space="preserve">and </w:t>
      </w:r>
      <w:r>
        <w:rPr>
          <w:i/>
          <w:spacing w:val="-2"/>
          <w:sz w:val="18"/>
        </w:rPr>
        <w:t>Engineering</w:t>
      </w:r>
    </w:p>
    <w:p w14:paraId="2A4A3258" w14:textId="77777777" w:rsidR="00F46880" w:rsidRDefault="00000000">
      <w:pPr>
        <w:ind w:left="417" w:right="549"/>
        <w:jc w:val="center"/>
        <w:rPr>
          <w:sz w:val="18"/>
        </w:rPr>
      </w:pPr>
      <w:r>
        <w:rPr>
          <w:i/>
          <w:sz w:val="18"/>
        </w:rPr>
        <w:t>Sree</w:t>
      </w:r>
      <w:r>
        <w:rPr>
          <w:i/>
          <w:spacing w:val="-12"/>
          <w:sz w:val="18"/>
        </w:rPr>
        <w:t xml:space="preserve"> </w:t>
      </w:r>
      <w:r>
        <w:rPr>
          <w:i/>
          <w:sz w:val="18"/>
        </w:rPr>
        <w:t>Vidyanikethan</w:t>
      </w:r>
      <w:r>
        <w:rPr>
          <w:i/>
          <w:spacing w:val="-12"/>
          <w:sz w:val="18"/>
        </w:rPr>
        <w:t xml:space="preserve"> </w:t>
      </w:r>
      <w:r>
        <w:rPr>
          <w:i/>
          <w:sz w:val="18"/>
        </w:rPr>
        <w:t xml:space="preserve">Engineering </w:t>
      </w:r>
      <w:r>
        <w:rPr>
          <w:i/>
          <w:spacing w:val="-2"/>
          <w:sz w:val="18"/>
        </w:rPr>
        <w:t xml:space="preserve">College(Autonomous) </w:t>
      </w:r>
      <w:r>
        <w:rPr>
          <w:spacing w:val="-2"/>
          <w:sz w:val="18"/>
        </w:rPr>
        <w:t xml:space="preserve">Tirupati,India </w:t>
      </w:r>
      <w:hyperlink r:id="rId14">
        <w:r>
          <w:rPr>
            <w:spacing w:val="-2"/>
            <w:sz w:val="18"/>
          </w:rPr>
          <w:t>mohantejaroyal8@gmail.com</w:t>
        </w:r>
      </w:hyperlink>
    </w:p>
    <w:p w14:paraId="7B7A359A" w14:textId="77777777" w:rsidR="00F46880" w:rsidRDefault="00F46880">
      <w:pPr>
        <w:rPr>
          <w:sz w:val="18"/>
        </w:rPr>
        <w:sectPr w:rsidR="00F46880">
          <w:type w:val="continuous"/>
          <w:pgSz w:w="11920" w:h="16850"/>
          <w:pgMar w:top="640" w:right="566" w:bottom="560" w:left="708" w:header="0" w:footer="365" w:gutter="0"/>
          <w:cols w:num="3" w:space="720" w:equalWidth="0">
            <w:col w:w="3014" w:space="563"/>
            <w:col w:w="3091" w:space="543"/>
            <w:col w:w="3435"/>
          </w:cols>
        </w:sectPr>
      </w:pPr>
    </w:p>
    <w:p w14:paraId="1A675AC5" w14:textId="77777777" w:rsidR="00F46880" w:rsidRDefault="00F46880">
      <w:pPr>
        <w:pStyle w:val="BodyText"/>
        <w:rPr>
          <w:sz w:val="13"/>
        </w:rPr>
        <w:sectPr w:rsidR="00F46880">
          <w:type w:val="continuous"/>
          <w:pgSz w:w="11920" w:h="16850"/>
          <w:pgMar w:top="640" w:right="566" w:bottom="560" w:left="708" w:header="0" w:footer="365" w:gutter="0"/>
          <w:cols w:space="720"/>
        </w:sectPr>
      </w:pPr>
    </w:p>
    <w:p w14:paraId="0A11FAEE" w14:textId="77777777" w:rsidR="00F46880" w:rsidRDefault="00000000">
      <w:pPr>
        <w:ind w:right="38"/>
        <w:jc w:val="both"/>
        <w:rPr>
          <w:b/>
          <w:sz w:val="20"/>
          <w:szCs w:val="20"/>
        </w:rPr>
      </w:pPr>
      <w:r>
        <w:rPr>
          <w:b/>
          <w:i/>
          <w:sz w:val="20"/>
          <w:szCs w:val="20"/>
        </w:rPr>
        <w:t>Abstract</w:t>
      </w:r>
      <w:r>
        <w:rPr>
          <w:b/>
          <w:sz w:val="20"/>
          <w:szCs w:val="20"/>
        </w:rPr>
        <w:t>—Zoonotic diseases, or diseases that can be transmitted between animals and humans, are a major health concern globally, and this is largely due to the intricate nature of their transmission, which involves animals, humans, and the environment. Therefore, it is very important to be able to forecast the outbreak risk in a timely and reliable manner because this will then lead to the deployment of appropriate control and prevention measures. The present research suggests a framework based on privacy-preserving federated learning for zoonotic outbreak risk prediction that is obtained by integrating distributed data from the monitoring systems for farms, hospitals, and wildlife. Each local data is preprocessed without sharing any raw information among the clients and is used to train Federated Deep Neural Network (FDNN) models at each client. The locally learned models are combined through the Federated Averaging (FedAvg) algorithm to create a unified global model. Deep features obtained from the federated model are then used by gradient-boosting classifiers, namely XGBoost and CatBoost, to further improve the prediction performance. The results of the experiments indicate that the proposed hybrid method is not only accurate but also very good at generalization when applied to different and diverse data sources. Through the use of SHAP-based analysis, model interpretability is assured, thus providing a clearer understanding of how different features influence outbreak risk prediction.</w:t>
      </w:r>
    </w:p>
    <w:p w14:paraId="6ED43B40" w14:textId="77777777" w:rsidR="00F46880" w:rsidRDefault="00F46880">
      <w:pPr>
        <w:ind w:left="199" w:right="38"/>
        <w:jc w:val="both"/>
        <w:rPr>
          <w:b/>
          <w:sz w:val="20"/>
          <w:szCs w:val="20"/>
        </w:rPr>
      </w:pPr>
    </w:p>
    <w:p w14:paraId="5EF1E854" w14:textId="77777777" w:rsidR="00F46880" w:rsidRDefault="00000000">
      <w:pPr>
        <w:spacing w:before="2"/>
        <w:ind w:right="44"/>
        <w:jc w:val="both"/>
        <w:rPr>
          <w:b/>
          <w:i/>
          <w:iCs/>
          <w:sz w:val="20"/>
          <w:szCs w:val="20"/>
        </w:rPr>
      </w:pPr>
      <w:r>
        <w:rPr>
          <w:b/>
          <w:bCs/>
          <w:i/>
          <w:iCs/>
          <w:sz w:val="20"/>
          <w:szCs w:val="20"/>
        </w:rPr>
        <w:t>Keywords—Federated Learning, Deep Neural Networks, FedAvg, XGBoost, CatBoost, Explainability, and Preserved.</w:t>
      </w:r>
      <w:r>
        <w:rPr>
          <w:b/>
          <w:i/>
          <w:iCs/>
          <w:sz w:val="20"/>
          <w:szCs w:val="20"/>
        </w:rPr>
        <w:t xml:space="preserve"> </w:t>
      </w:r>
    </w:p>
    <w:p w14:paraId="016AD5E1" w14:textId="77777777" w:rsidR="00F46880" w:rsidRDefault="00000000">
      <w:pPr>
        <w:pStyle w:val="ListParagraph"/>
        <w:numPr>
          <w:ilvl w:val="0"/>
          <w:numId w:val="1"/>
        </w:numPr>
        <w:tabs>
          <w:tab w:val="left" w:pos="2306"/>
        </w:tabs>
        <w:spacing w:before="201"/>
        <w:ind w:hanging="415"/>
        <w:jc w:val="left"/>
        <w:rPr>
          <w:sz w:val="20"/>
        </w:rPr>
      </w:pPr>
      <w:r>
        <w:rPr>
          <w:smallCaps/>
          <w:spacing w:val="-2"/>
          <w:sz w:val="20"/>
        </w:rPr>
        <w:t>Introduction</w:t>
      </w:r>
    </w:p>
    <w:p w14:paraId="7A9BD9C6" w14:textId="77777777" w:rsidR="00F46880" w:rsidRDefault="00000000">
      <w:pPr>
        <w:pStyle w:val="BodyText"/>
        <w:spacing w:before="91"/>
        <w:ind w:firstLine="142"/>
        <w:jc w:val="both"/>
      </w:pPr>
      <w:r>
        <w:t>Zoonotic diseases are a significant global health challenge since they are unpredictable in their appearance and spread very quickly. They are the diseases that start in animals and then spread to humans. The main reasons for the increased risk of zoonotic outbreaks include climate change, human-animal contact, extensive farming, and wildlife migration. The prevention of these diseases and their control will depend on the ability to monitor and predict them very early, which can only be achieved through the integration of different data sources that represent environmental, animal health and</w:t>
      </w:r>
    </w:p>
    <w:p w14:paraId="47FE743F" w14:textId="77777777" w:rsidR="00F46880" w:rsidRDefault="00000000">
      <w:pPr>
        <w:pStyle w:val="BodyText"/>
        <w:spacing w:before="91"/>
        <w:ind w:left="199"/>
        <w:jc w:val="both"/>
      </w:pPr>
      <w:r>
        <w:t>human epidemiological conditions. However, traditional     centralized data-driven strategies have limitations in handling health data that are fragmented and sensitive.</w:t>
      </w:r>
    </w:p>
    <w:p w14:paraId="07BE68E3" w14:textId="77777777" w:rsidR="00F46880" w:rsidRDefault="00000000">
      <w:pPr>
        <w:pStyle w:val="BodyText"/>
        <w:spacing w:before="216" w:line="228" w:lineRule="auto"/>
        <w:ind w:left="199"/>
        <w:jc w:val="both"/>
      </w:pPr>
      <w:r>
        <w:t>The use of machine learning methods has revealed their great potential in the areas of disease monitoring and prediction through their capabilities of detecting intricate patterns within enormous datasets. Nevertheless, in practical situations, pertinent data are usually spread across different organizations, for instance, farms, hospitals, and wildlife monitoring agencies. Bringing together such data prompts major issues regarding privacy, data ownership, and compliance with regulations. The aforementioned problems lead to decreased data accessibility and as a consequence, the traditional predictive models become less effective.</w:t>
      </w:r>
    </w:p>
    <w:p w14:paraId="2ECA7155" w14:textId="77777777" w:rsidR="00F46880" w:rsidRDefault="00000000">
      <w:pPr>
        <w:pStyle w:val="BodyText"/>
        <w:spacing w:before="216" w:line="228" w:lineRule="auto"/>
        <w:ind w:left="199"/>
        <w:jc w:val="both"/>
      </w:pPr>
      <w:r>
        <w:t>Federated learning has come up as a new promise among paradigms to solve these troubles. This is a method of uniting model training in collaboration without the necessity of exchanging raw data. The authors of this study present a powerful and confidentiality-preserving system for accurate zoonotic disease outbreak risk prediction by merging federated deep learning with gradient-boosted decision tree models and explainable AI techniques.</w:t>
      </w:r>
    </w:p>
    <w:p w14:paraId="276A8B71" w14:textId="77777777" w:rsidR="00F46880" w:rsidRDefault="00000000">
      <w:pPr>
        <w:pStyle w:val="BodyText"/>
        <w:spacing w:before="216" w:line="228" w:lineRule="auto"/>
        <w:ind w:left="199"/>
        <w:jc w:val="both"/>
      </w:pPr>
      <w:r>
        <w:t>Besides the issues with privacy, zoonotic disease data are naturally heterogeneous, with differences among sources in structure, scale, and quality. Data from farms usually centers around the animals and the environment, hospital records include clinical and epidemiological indicators, while the monitoring of wild species puts the focus on their movements and exposures to habitats. To gain useful knowledge from such differing data sources and types, it is necessary to have the ability to apply models that can adjust their feature distributions and capture relationships that are nonlinear. Deep neural networks can handle this job well because of their ability to learn representations; nonetheless, if they are trained in isolation, they might have the problem of producing low generalization and biased learning.</w:t>
      </w:r>
    </w:p>
    <w:p w14:paraId="3D74456B" w14:textId="77777777" w:rsidR="00F46880" w:rsidRDefault="00000000">
      <w:pPr>
        <w:pStyle w:val="BodyText"/>
        <w:spacing w:before="216" w:line="228" w:lineRule="auto"/>
        <w:ind w:left="199"/>
        <w:jc w:val="both"/>
      </w:pPr>
      <w:r>
        <w:t xml:space="preserve">To overcome these limitations, this study adopts a hybrid modeling strategy that combines federated deep neural networks with gradient-boosted decision tree classifiers. The federated deep model learns high-level feature representations collaboratively across distributed clients using the FedAvg </w:t>
      </w:r>
    </w:p>
    <w:p w14:paraId="3097EBC5" w14:textId="77777777" w:rsidR="00F46880" w:rsidRDefault="00000000">
      <w:pPr>
        <w:pStyle w:val="BodyText"/>
        <w:spacing w:before="216" w:line="228" w:lineRule="auto"/>
        <w:jc w:val="both"/>
      </w:pPr>
      <w:r>
        <w:lastRenderedPageBreak/>
        <w:t>aggregation mechanism. These learned representations are then utilized by tree-based ensemble models to improve classification accuracy and robustness. Furthermore, explainability is incorporated using SHAP analysis to provide insights into feature influence and model behavior. This integrated approach supports reliable decision-making and offers a practical framework for early zoonotic outbreak risk assessment.</w:t>
      </w:r>
    </w:p>
    <w:p w14:paraId="4F3CAC7F" w14:textId="77777777" w:rsidR="00F46880" w:rsidRDefault="00000000">
      <w:pPr>
        <w:pStyle w:val="ListParagraph"/>
        <w:numPr>
          <w:ilvl w:val="0"/>
          <w:numId w:val="1"/>
        </w:numPr>
        <w:tabs>
          <w:tab w:val="left" w:pos="2071"/>
        </w:tabs>
        <w:spacing w:before="91"/>
        <w:jc w:val="both"/>
        <w:rPr>
          <w:sz w:val="20"/>
        </w:rPr>
      </w:pPr>
      <w:r>
        <w:rPr>
          <w:smallCaps/>
          <w:spacing w:val="-2"/>
          <w:sz w:val="20"/>
        </w:rPr>
        <w:t>Literature</w:t>
      </w:r>
      <w:r>
        <w:rPr>
          <w:smallCaps/>
          <w:spacing w:val="6"/>
          <w:sz w:val="20"/>
        </w:rPr>
        <w:t xml:space="preserve"> </w:t>
      </w:r>
      <w:r>
        <w:rPr>
          <w:smallCaps/>
          <w:spacing w:val="-2"/>
          <w:sz w:val="20"/>
        </w:rPr>
        <w:t>Survey</w:t>
      </w:r>
    </w:p>
    <w:p w14:paraId="65B26C5C" w14:textId="77777777" w:rsidR="00F46880" w:rsidRDefault="00000000">
      <w:pPr>
        <w:pStyle w:val="BodyText"/>
        <w:spacing w:before="216" w:line="228" w:lineRule="auto"/>
        <w:jc w:val="both"/>
      </w:pPr>
      <w:r>
        <w:t>Initially, detection of outbreaks was mainly subjected to the statistical and rule-based models which were the dominant methods of the day, but these models usually had hard times dealing with non-linear correlations and high-dimensional data. The last few years have seen considerable improvements in outbreak forecasting accuracy using supervised learning and ensemble-based models by combining epidemiological, environmental, and population-level features [1], [3].</w:t>
      </w:r>
    </w:p>
    <w:p w14:paraId="08F3F8AA" w14:textId="77777777" w:rsidR="00F46880" w:rsidRDefault="00000000">
      <w:pPr>
        <w:pStyle w:val="BodyText"/>
        <w:spacing w:before="216" w:line="228" w:lineRule="auto"/>
        <w:jc w:val="both"/>
      </w:pPr>
      <w:r>
        <w:t>The outbreak prediction has been pushed forward even more by the deep learning techniques, which have made it possible to learn features automatically from various data sources. Neural network-based models have been mentioned as the ones that can capture the temporal and spatial dependencies in disease spreading very well, especially if they have access to large amounts of data [1]. However, deep learning models, no matter how powerful their predictions are, still need to be trained on centralized data, which, in turn, limit their use in real-life healthcare situations where data sharing is not allowed.</w:t>
      </w:r>
    </w:p>
    <w:p w14:paraId="1297532C" w14:textId="77777777" w:rsidR="00F46880" w:rsidRDefault="00000000">
      <w:pPr>
        <w:pStyle w:val="BodyText"/>
        <w:spacing w:before="216" w:line="228" w:lineRule="auto"/>
        <w:jc w:val="both"/>
      </w:pPr>
      <w:r>
        <w:t>Machine learning applications in the health sector have to deal with data privacy and regulatory constraints as a result of the situation. Centralized data aggregation is practically impossible because healthcare and epidemiological datasets are often dispersed among different organizations. Research has shown that, by severely limiting the accessibility of data, privacy issues, legal regulations, and institutional policies have a very negative influence on the efficiency of the old-fashioned centralized machine learning pipelines [4], [7].</w:t>
      </w:r>
    </w:p>
    <w:p w14:paraId="525E886A" w14:textId="77777777" w:rsidR="00F46880" w:rsidRDefault="00000000">
      <w:pPr>
        <w:pStyle w:val="BodyText"/>
        <w:spacing w:before="216" w:line="228" w:lineRule="auto"/>
        <w:jc w:val="both"/>
      </w:pPr>
      <w:r>
        <w:t>Federated learning (FL) has been a promising solution to these problems as it allows collaborative model training without disclosing the raw data. Only the model parameters or updates are exchanged, thus keeping the data confidential. Several surveys and systematic reviews have pointed out the appropriateness of FL in healthcare analytics, especially for sensitive biomedical and clinical datasets [4], [8], [9]. These studies indicate that FL provides equivalent performance to centralized models while still adhering to privacy regulations.</w:t>
      </w:r>
    </w:p>
    <w:p w14:paraId="0FA424A6" w14:textId="77777777" w:rsidR="00F46880" w:rsidRDefault="00000000">
      <w:pPr>
        <w:pStyle w:val="BodyText"/>
        <w:spacing w:before="216" w:line="228" w:lineRule="auto"/>
        <w:jc w:val="both"/>
      </w:pPr>
      <w:r>
        <w:t>There have been a number of studies that have looked into the usage of federated deep neural networks as a means of medical diagnosis and disease prediction. The findings show that deep models trained in a federated manner are able to perform equally good in terms of predictions over different datasets if proper aggregation methods like Federated Averaging (FedAvg) are used [2], [5]. FedAvg is still the most popular method for aggregating data because of its easy-to-use nature, ability to handle large-scale applications, and its efficiency in environments with distributed learning.</w:t>
      </w:r>
    </w:p>
    <w:p w14:paraId="271EBB7D" w14:textId="77777777" w:rsidR="00F46880" w:rsidRDefault="00000000">
      <w:pPr>
        <w:pStyle w:val="BodyText"/>
        <w:spacing w:before="216" w:line="228" w:lineRule="auto"/>
        <w:jc w:val="both"/>
      </w:pPr>
      <w:r>
        <w:t>Besides privacy preservation, the investigation has been done on fortifying federated learning with extra security measures in the recent research. Among the techniques are differential privacy and secure aggregation which have been suggested to additionally cut down on the chance of information being exposed during model updating [6]. The use of these methods has also made federated systems more reliable, especially in the case of public health and epidemiological studies using sensitive data of the population.</w:t>
      </w:r>
    </w:p>
    <w:p w14:paraId="610B7350" w14:textId="77777777" w:rsidR="00F46880" w:rsidRDefault="00000000">
      <w:pPr>
        <w:pStyle w:val="BodyText"/>
        <w:spacing w:before="216" w:line="228" w:lineRule="auto"/>
        <w:ind w:left="199"/>
        <w:jc w:val="both"/>
      </w:pPr>
      <w:r>
        <w:t>Even though federated deep learning solves privacy issues, it cannot touch the challenges of understanding and improving the model then. Among the various deep learning methods, tree-based ones like XGBoost and CatBoost have become popular in disease prediction tasks mainly because of their top accuracy, power to catch non-linear relations, and, as a plus, interpretability [3]. There are even some reviews saying that ensemble models are the winners in outbreak risk assessment and epidemiological analysis over single classifiers.</w:t>
      </w:r>
    </w:p>
    <w:p w14:paraId="0F53BA27" w14:textId="77777777" w:rsidR="00F46880" w:rsidRDefault="00000000">
      <w:pPr>
        <w:pStyle w:val="BodyText"/>
        <w:spacing w:before="216" w:line="228" w:lineRule="auto"/>
        <w:ind w:left="199"/>
        <w:jc w:val="both"/>
      </w:pPr>
      <w:r>
        <w:t>Hybrid modeling methodologies that integrate deep learning with ensemble techniques have recently attracted interest. In these types of models, the deep neural networks do the job of extracting features, and the tree-based models carry out the final classification. Researchers propose that this merger fully utilizes the representation ability of deep learning along with the decisiveness of the ensemble models, thereby enhancing the predictive power [1], [3].</w:t>
      </w:r>
    </w:p>
    <w:p w14:paraId="1A1927D6" w14:textId="77777777" w:rsidR="00F46880" w:rsidRDefault="00000000">
      <w:pPr>
        <w:pStyle w:val="BodyText"/>
        <w:spacing w:before="216" w:line="228" w:lineRule="auto"/>
        <w:ind w:left="199"/>
        <w:jc w:val="both"/>
      </w:pPr>
      <w:r>
        <w:t>Notwithstanding these technological progresses, the use of hybrid models in federated learning for zoonotic disease prediction is still in its early stage. Most researchers are either exploring centralized hybrid models or applying federated learning to single-model systems. A full-fledged system that would combine federated deep learning, ensemble classifiers, and explainability techniques for predicting zoonotic outbreaks has not yet been developed.</w:t>
      </w:r>
    </w:p>
    <w:p w14:paraId="521A0306" w14:textId="77777777" w:rsidR="00F46880" w:rsidRDefault="00000000">
      <w:pPr>
        <w:pStyle w:val="BodyText"/>
        <w:spacing w:before="216" w:line="228" w:lineRule="auto"/>
        <w:ind w:left="199"/>
        <w:jc w:val="both"/>
      </w:pPr>
      <w:r>
        <w:t>The adoption of explainable AI in healthcare analytics has been a significant trend in research. One of the methods that has been widely used to interpret complex models of machine learning is SHAP, which works by measuring the contribution of each feature to the predicted outcome. The literature points out that the ability to explain is essential for gaining the confidence of medical professionals and policy makers, especially in monitoring diseases where the actions taken can affect a whole community [7].</w:t>
      </w:r>
    </w:p>
    <w:p w14:paraId="4AF2E58E" w14:textId="77777777" w:rsidR="00F46880" w:rsidRDefault="00000000">
      <w:pPr>
        <w:pStyle w:val="BodyText"/>
        <w:spacing w:before="216" w:line="228" w:lineRule="auto"/>
        <w:ind w:left="199"/>
        <w:jc w:val="both"/>
      </w:pPr>
      <w:r>
        <w:t>To put it briefly, the current body of research demonstrates that machine learning, federated learning, and ensemble methods are effective in predicting healthcare-related epidemics and outbreaks. Nevertheless, it is still a long way to go before these techniques are incorporated into a framework that can assess the risk of zoonotic disease outbreaks in a scalable, privacy-preserving, and interpretable manner. The research work in question fills the void by integrating federated deep neural networks, FedAvg aggregation, gradient-boosted decision tree models, and SHAP-based interpretability within a single predictive system.</w:t>
      </w:r>
    </w:p>
    <w:p w14:paraId="635D5366" w14:textId="77777777" w:rsidR="00F46880" w:rsidRDefault="00F46880">
      <w:pPr>
        <w:spacing w:before="8"/>
        <w:rPr>
          <w:i/>
          <w:sz w:val="16"/>
        </w:rPr>
      </w:pPr>
    </w:p>
    <w:p w14:paraId="0E554F97" w14:textId="77777777" w:rsidR="00F46880" w:rsidRDefault="00000000">
      <w:pPr>
        <w:pStyle w:val="ListParagraph"/>
        <w:numPr>
          <w:ilvl w:val="0"/>
          <w:numId w:val="1"/>
        </w:numPr>
        <w:tabs>
          <w:tab w:val="left" w:pos="681"/>
        </w:tabs>
        <w:jc w:val="both"/>
        <w:rPr>
          <w:sz w:val="20"/>
        </w:rPr>
      </w:pPr>
      <w:r>
        <w:rPr>
          <w:smallCaps/>
          <w:spacing w:val="-2"/>
          <w:sz w:val="20"/>
        </w:rPr>
        <w:t>Methodology</w:t>
      </w:r>
    </w:p>
    <w:p w14:paraId="79DB1E08" w14:textId="77777777" w:rsidR="00F46880" w:rsidRDefault="00000000">
      <w:pPr>
        <w:pStyle w:val="BodyText"/>
        <w:spacing w:before="216" w:line="228" w:lineRule="auto"/>
        <w:ind w:left="199"/>
        <w:jc w:val="both"/>
      </w:pPr>
      <w:r>
        <w:t>A. Dataset Description</w:t>
      </w:r>
    </w:p>
    <w:p w14:paraId="661C125D" w14:textId="77777777" w:rsidR="00F46880" w:rsidRDefault="00000000">
      <w:pPr>
        <w:pStyle w:val="BodyText"/>
        <w:spacing w:before="216" w:line="228" w:lineRule="auto"/>
        <w:ind w:left="199"/>
        <w:jc w:val="both"/>
      </w:pPr>
      <w:r>
        <w:t>The suggested system employs a composite dataset that was gathered from various distributed locations, such as farms, hospitals, and wildlife monitoring units. The farm data includes animal population statistics, vaccination coverage, environmental conditions, and human–animal interaction indicators. Hospital data includes the number of reported cases, admission rates, mortality statistics, and diagnostic outcomes. Wildlife data contain population dynamics, migration behavior, proximity to habitats, and exposure to the environment. The datasets are secured at the individual sources to ensure the privacy and ownership of the data.</w:t>
      </w:r>
    </w:p>
    <w:p w14:paraId="5DF9648E" w14:textId="77777777" w:rsidR="00F46880" w:rsidRDefault="00000000">
      <w:pPr>
        <w:pStyle w:val="BodyText"/>
        <w:spacing w:before="216" w:line="228" w:lineRule="auto"/>
        <w:ind w:left="199"/>
        <w:jc w:val="both"/>
      </w:pPr>
      <w:r>
        <w:t>B. Data Distribution and Client Setup</w:t>
      </w:r>
    </w:p>
    <w:p w14:paraId="43939592" w14:textId="77777777" w:rsidR="00F46880" w:rsidRDefault="00000000">
      <w:pPr>
        <w:pStyle w:val="BodyText"/>
        <w:spacing w:before="216" w:line="228" w:lineRule="auto"/>
        <w:ind w:left="199"/>
        <w:jc w:val="both"/>
      </w:pPr>
      <w:r>
        <w:t xml:space="preserve">In order to mimic a real-world scenario for federated learning, we divided the dataset among three separate clients: farm, hospital and wildlife clients. The raw data of each client is only </w:t>
      </w:r>
    </w:p>
    <w:p w14:paraId="0FDDD0CB" w14:textId="77777777" w:rsidR="00F46880" w:rsidRDefault="00000000">
      <w:pPr>
        <w:pStyle w:val="BodyText"/>
        <w:spacing w:before="216" w:line="228" w:lineRule="auto"/>
        <w:jc w:val="both"/>
      </w:pPr>
      <w:r>
        <w:lastRenderedPageBreak/>
        <w:t>kept in the form of domain-specific features plus the shared target variable which indicates the level of outbreak risk. There is no exchange of raw data between clients. This separation of clients not only preserves privacy but also allows for collaboration in learning across different data types.</w:t>
      </w:r>
    </w:p>
    <w:p w14:paraId="4B9FAB8D" w14:textId="77777777" w:rsidR="00F46880" w:rsidRDefault="00000000">
      <w:pPr>
        <w:pStyle w:val="BodyText"/>
        <w:spacing w:before="216" w:line="228" w:lineRule="auto"/>
        <w:jc w:val="both"/>
      </w:pPr>
      <w:r>
        <w:t>C. Data Preprocessing</w:t>
      </w:r>
    </w:p>
    <w:p w14:paraId="478515B7" w14:textId="77777777" w:rsidR="00F46880" w:rsidRDefault="00000000">
      <w:pPr>
        <w:pStyle w:val="BodyText"/>
        <w:spacing w:before="216" w:line="228" w:lineRule="auto"/>
        <w:jc w:val="both"/>
      </w:pPr>
      <w:r>
        <w:t>Each client conducts local preprocessing individually in order to enhance not only the quality but also the uniformity of the data. Missing values are replaced with medians, which is a more robust method and less prone to the influence of extreme cases, thus improving the overall data quality. Outliers are managed by winsorization, thus their effect on model training is limited. Skewed feature distributions are normalized through power transformation methods, after which a standardization process-based feature scaling is used to equalize the input ranges. All these procedures make it possible for the deep neural network models to have stable and efficient learning.</w:t>
      </w:r>
    </w:p>
    <w:p w14:paraId="579EF0FC" w14:textId="77777777" w:rsidR="00F46880" w:rsidRDefault="00000000">
      <w:pPr>
        <w:pStyle w:val="BodyText"/>
        <w:spacing w:before="216" w:line="228" w:lineRule="auto"/>
        <w:jc w:val="both"/>
      </w:pPr>
      <w:r>
        <w:t>D. Feature Alignment and Preparation</w:t>
      </w:r>
    </w:p>
    <w:p w14:paraId="078FD5C8" w14:textId="77777777" w:rsidR="00F46880" w:rsidRDefault="00000000">
      <w:pPr>
        <w:pStyle w:val="BodyText"/>
        <w:spacing w:before="216" w:line="228" w:lineRule="auto"/>
        <w:jc w:val="both"/>
      </w:pPr>
      <w:r>
        <w:t>To facilitate federated aggregation, the datasets of the clients are aligned to a global feature schema. If there are features that are unavailable at a particular client, they will be null placeholders and treated during preprocessing. This alignment makes sure that the input dimensions remain the same for all local models, which is an essential condition for federated deep neural networks' training and aggregation.</w:t>
      </w:r>
    </w:p>
    <w:p w14:paraId="34091227" w14:textId="77777777" w:rsidR="00F46880" w:rsidRDefault="00000000">
      <w:pPr>
        <w:pStyle w:val="BodyText"/>
        <w:spacing w:before="216" w:line="228" w:lineRule="auto"/>
        <w:jc w:val="both"/>
      </w:pPr>
      <w:r>
        <w:t>E. Federated Deep Neural Network Training</w:t>
      </w:r>
    </w:p>
    <w:p w14:paraId="5B0A3A5B" w14:textId="77777777" w:rsidR="00F46880" w:rsidRDefault="00000000">
      <w:pPr>
        <w:pStyle w:val="BodyText"/>
        <w:spacing w:before="216" w:line="228" w:lineRule="auto"/>
        <w:jc w:val="both"/>
      </w:pPr>
      <w:r>
        <w:t>Every clients use its own preprocessed data to train a local Federated Deep Neural Network (FDNN). The FDNN is capable of learning those high-level representations which are needed to understand the complex relationships between the input features. Local model training is performed for several epochs, and only the model parameters learnt are sent to the federated server. Raw data is always kept within the limits of each client, and accordingly, privacy is guaranteed.</w:t>
      </w:r>
    </w:p>
    <w:p w14:paraId="326DAD3F" w14:textId="77777777" w:rsidR="00F46880" w:rsidRDefault="00000000">
      <w:pPr>
        <w:pStyle w:val="BodyText"/>
        <w:spacing w:before="216" w:line="228" w:lineRule="auto"/>
        <w:jc w:val="both"/>
      </w:pPr>
      <w:r>
        <w:t>F. Federated Averaging and Global Model Formation</w:t>
      </w:r>
    </w:p>
    <w:p w14:paraId="349C0ADA" w14:textId="77777777" w:rsidR="00F46880" w:rsidRDefault="00000000">
      <w:pPr>
        <w:pStyle w:val="BodyText"/>
        <w:spacing w:before="216" w:line="228" w:lineRule="auto"/>
        <w:jc w:val="both"/>
      </w:pPr>
      <w:r>
        <w:t xml:space="preserve">Federated Server Aggregate the Federated Averaging (FedAvg) algorithm to the locally trained FDNN models. FedAvg forms a global model that mainly represents </w:t>
      </w:r>
    </w:p>
    <w:p w14:paraId="6159132D" w14:textId="77777777" w:rsidR="00F46880" w:rsidRDefault="00000000">
      <w:pPr>
        <w:pStyle w:val="BodyText"/>
        <w:spacing w:before="216" w:line="228" w:lineRule="auto"/>
        <w:jc w:val="both"/>
      </w:pPr>
      <w:r>
        <w:t>knowledge learned from the distributed data sources by computing a weighted average of the model parameters from all the clients. This global model fairly represents the generalization by taking into account the diverse data patterns coming from the farm, hospital, and wildlife.</w:t>
      </w:r>
    </w:p>
    <w:p w14:paraId="31419837" w14:textId="77777777" w:rsidR="00F46880" w:rsidRDefault="00000000">
      <w:pPr>
        <w:pStyle w:val="BodyText"/>
        <w:spacing w:before="216" w:line="228" w:lineRule="auto"/>
        <w:jc w:val="both"/>
      </w:pPr>
      <w:r>
        <w:t>G. Hybrid Classification Using Ensemble Models</w:t>
      </w:r>
    </w:p>
    <w:p w14:paraId="3C793AEA" w14:textId="77777777" w:rsidR="00F46880" w:rsidRDefault="00000000">
      <w:pPr>
        <w:pStyle w:val="BodyText"/>
        <w:spacing w:before="216" w:line="228" w:lineRule="auto"/>
        <w:jc w:val="both"/>
      </w:pPr>
      <w:r>
        <w:t>The global FDNN has produced deep feature representations that serve as inputs to the gradient-boosted decision tree models, namely, XGBoost and CatBoost. These ensemble classifiers are utilized to improve prediction accuracy and robustness. The hybrid modeling strategy harnesses the representation learning power of deep neural networks together with the strong decision boundaries and interpretability of tree-based models.</w:t>
      </w:r>
    </w:p>
    <w:p w14:paraId="11D6010C" w14:textId="77777777" w:rsidR="00F46880" w:rsidRDefault="00000000">
      <w:pPr>
        <w:pStyle w:val="BodyText"/>
        <w:spacing w:before="216" w:line="228" w:lineRule="auto"/>
        <w:jc w:val="both"/>
      </w:pPr>
      <w:r>
        <w:t>H. Model Evaluation and Explainability</w:t>
      </w:r>
    </w:p>
    <w:p w14:paraId="59F2DB43" w14:textId="77777777" w:rsidR="00F46880" w:rsidRDefault="00000000">
      <w:pPr>
        <w:pStyle w:val="BodyText"/>
        <w:spacing w:before="216" w:line="228" w:lineRule="auto"/>
        <w:jc w:val="both"/>
      </w:pPr>
      <w:r>
        <w:t>The evaluation of the proposed system is carried out using standard classification metrics such as accuracy, precision, recall, and F1-score. To the ensemble models, SHAP-based explainability is applied that not only serves the purpose of improving transparency and trust but also points out the part</w:t>
      </w:r>
    </w:p>
    <w:p w14:paraId="54D27221" w14:textId="77777777" w:rsidR="00F46880" w:rsidRDefault="00000000">
      <w:pPr>
        <w:pStyle w:val="BodyText"/>
        <w:spacing w:before="216" w:line="228" w:lineRule="auto"/>
        <w:ind w:left="199"/>
        <w:jc w:val="both"/>
      </w:pPr>
      <w:r>
        <w:t>of each feature in making predictions on outbreak risk. This interpretability layer not only endorses informed decision-making but also attests to the dependability of the proposed framework.</w:t>
      </w:r>
    </w:p>
    <w:p w14:paraId="28713F32" w14:textId="77777777" w:rsidR="00F46880" w:rsidRDefault="00000000">
      <w:pPr>
        <w:pStyle w:val="BodyText"/>
        <w:spacing w:before="216" w:line="228" w:lineRule="auto"/>
        <w:ind w:left="199"/>
        <w:jc w:val="both"/>
      </w:pPr>
      <w:r>
        <w:rPr>
          <w:noProof/>
        </w:rPr>
        <w:drawing>
          <wp:inline distT="0" distB="0" distL="0" distR="0" wp14:anchorId="516E7A3F" wp14:editId="1654B096">
            <wp:extent cx="3151505" cy="5234305"/>
            <wp:effectExtent l="0" t="0" r="0" b="4445"/>
            <wp:docPr id="350690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90807"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68185" cy="5262057"/>
                    </a:xfrm>
                    <a:prstGeom prst="rect">
                      <a:avLst/>
                    </a:prstGeom>
                    <a:noFill/>
                    <a:ln>
                      <a:noFill/>
                    </a:ln>
                  </pic:spPr>
                </pic:pic>
              </a:graphicData>
            </a:graphic>
          </wp:inline>
        </w:drawing>
      </w:r>
    </w:p>
    <w:p w14:paraId="1B922786" w14:textId="77777777" w:rsidR="00F46880" w:rsidRDefault="00000000">
      <w:pPr>
        <w:pStyle w:val="BodyText"/>
        <w:spacing w:before="216" w:line="228" w:lineRule="auto"/>
        <w:ind w:left="199"/>
        <w:jc w:val="center"/>
        <w:rPr>
          <w:sz w:val="18"/>
          <w:szCs w:val="18"/>
        </w:rPr>
      </w:pPr>
      <w:r>
        <w:rPr>
          <w:sz w:val="18"/>
          <w:szCs w:val="18"/>
        </w:rPr>
        <w:t>Fig 1. Project Work Flow</w:t>
      </w:r>
    </w:p>
    <w:p w14:paraId="510308A9" w14:textId="77777777" w:rsidR="00F46880" w:rsidRDefault="00000000">
      <w:pPr>
        <w:pStyle w:val="BodyText"/>
        <w:numPr>
          <w:ilvl w:val="0"/>
          <w:numId w:val="2"/>
        </w:numPr>
        <w:spacing w:before="216" w:line="228" w:lineRule="auto"/>
        <w:jc w:val="both"/>
      </w:pPr>
      <w:r>
        <w:t>Evaluation of Federated Deep Neural Network (FDNN)</w:t>
      </w:r>
    </w:p>
    <w:p w14:paraId="7C701215" w14:textId="77777777" w:rsidR="00F46880" w:rsidRDefault="00000000">
      <w:pPr>
        <w:pStyle w:val="BodyText"/>
        <w:spacing w:before="216" w:line="228" w:lineRule="auto"/>
        <w:ind w:left="199"/>
        <w:jc w:val="both"/>
      </w:pPr>
      <w:r>
        <w:t xml:space="preserve">At the end of federated aggregation, the FDNN gets evaluated globally. True outbreak risk label is represented by y and the predicted probability vector produced from softmax layer is y ̂. </w:t>
      </w:r>
    </w:p>
    <w:p w14:paraId="7272B5E6" w14:textId="77777777" w:rsidR="00F46880" w:rsidRDefault="00000000">
      <w:pPr>
        <w:pStyle w:val="BodyText"/>
        <w:spacing w:before="216" w:line="228" w:lineRule="auto"/>
        <w:ind w:left="199"/>
        <w:jc w:val="both"/>
      </w:pPr>
      <w:r>
        <w:t>The training objective is to minimize the loss from categorical cross-entropy:</w:t>
      </w:r>
    </w:p>
    <w:p w14:paraId="35B92594" w14:textId="77777777" w:rsidR="00F46880" w:rsidRDefault="00000000">
      <w:pPr>
        <w:pStyle w:val="BodyText"/>
        <w:ind w:left="199"/>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CE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c</m:t>
                  </m:r>
                </m:sub>
              </m:sSub>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e>
          </m:d>
        </m:oMath>
      </m:oMathPara>
    </w:p>
    <w:p w14:paraId="1AE35D55" w14:textId="77777777" w:rsidR="00F46880" w:rsidRDefault="00000000">
      <w:pPr>
        <w:pStyle w:val="BodyText"/>
        <w:spacing w:before="216" w:line="228" w:lineRule="auto"/>
        <w:ind w:left="199"/>
        <w:jc w:val="both"/>
      </w:pPr>
      <w:r>
        <w:t>where C denotes the number of risk categories. The performance of the model is defined from the angle of accuracy as follows:</w:t>
      </w:r>
    </w:p>
    <w:p w14:paraId="1F80530F" w14:textId="77777777" w:rsidR="00F46880" w:rsidRDefault="00F46880">
      <w:pPr>
        <w:pStyle w:val="BodyText"/>
        <w:spacing w:before="216" w:line="228" w:lineRule="auto"/>
        <w:ind w:left="199"/>
        <w:jc w:val="both"/>
      </w:pPr>
    </w:p>
    <w:p w14:paraId="18FF1D60" w14:textId="77777777" w:rsidR="00F46880" w:rsidRDefault="00000000">
      <w:pPr>
        <w:pStyle w:val="BodyText"/>
      </w:pPr>
      <m:oMathPara>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0E16A4D3" w14:textId="77777777" w:rsidR="00F46880" w:rsidRDefault="00F46880">
      <w:pPr>
        <w:pStyle w:val="BodyText"/>
        <w:spacing w:before="216" w:line="228" w:lineRule="auto"/>
        <w:ind w:left="559"/>
        <w:jc w:val="both"/>
      </w:pPr>
    </w:p>
    <w:p w14:paraId="15BDE7EE" w14:textId="77777777" w:rsidR="00F46880" w:rsidRDefault="00F46880">
      <w:pPr>
        <w:pStyle w:val="BodyText"/>
        <w:spacing w:before="216" w:line="228" w:lineRule="auto"/>
        <w:ind w:left="199"/>
        <w:jc w:val="both"/>
        <w:rPr>
          <w:sz w:val="18"/>
          <w:szCs w:val="18"/>
        </w:rPr>
      </w:pPr>
    </w:p>
    <w:p w14:paraId="31774E8F" w14:textId="77777777" w:rsidR="00F46880" w:rsidRDefault="00F46880">
      <w:pPr>
        <w:pStyle w:val="BodyText"/>
        <w:spacing w:before="216" w:line="228" w:lineRule="auto"/>
        <w:ind w:left="199"/>
        <w:jc w:val="both"/>
        <w:rPr>
          <w:sz w:val="18"/>
          <w:szCs w:val="18"/>
        </w:rPr>
      </w:pPr>
    </w:p>
    <w:p w14:paraId="490D8729" w14:textId="77777777" w:rsidR="00F46880" w:rsidRDefault="00F46880">
      <w:pPr>
        <w:pStyle w:val="BodyText"/>
        <w:rPr>
          <w:sz w:val="7"/>
        </w:rPr>
        <w:sectPr w:rsidR="00F46880">
          <w:type w:val="continuous"/>
          <w:pgSz w:w="11920" w:h="16850"/>
          <w:pgMar w:top="640" w:right="566" w:bottom="560" w:left="708" w:header="0" w:footer="365" w:gutter="0"/>
          <w:cols w:num="2" w:space="720" w:equalWidth="0">
            <w:col w:w="5117" w:space="109"/>
            <w:col w:w="5420"/>
          </w:cols>
        </w:sectPr>
      </w:pPr>
    </w:p>
    <w:p w14:paraId="2707071D" w14:textId="77777777" w:rsidR="00F46880" w:rsidRDefault="00F46880">
      <w:pPr>
        <w:pStyle w:val="BodyText"/>
        <w:rPr>
          <w:sz w:val="18"/>
        </w:rPr>
        <w:sectPr w:rsidR="00F46880">
          <w:footerReference w:type="default" r:id="rId16"/>
          <w:pgSz w:w="11920" w:h="16850"/>
          <w:pgMar w:top="640" w:right="566" w:bottom="560" w:left="708" w:header="0" w:footer="365" w:gutter="0"/>
          <w:cols w:space="720"/>
        </w:sectPr>
      </w:pPr>
    </w:p>
    <w:p w14:paraId="53A8A77F" w14:textId="77777777" w:rsidR="00F46880" w:rsidRDefault="00F46880">
      <w:pPr>
        <w:pStyle w:val="BodyText"/>
        <w:sectPr w:rsidR="00F46880">
          <w:type w:val="continuous"/>
          <w:pgSz w:w="11920" w:h="16850"/>
          <w:pgMar w:top="640" w:right="566" w:bottom="560" w:left="708" w:header="0" w:footer="365" w:gutter="0"/>
          <w:cols w:space="720"/>
        </w:sectPr>
      </w:pPr>
    </w:p>
    <w:p w14:paraId="082E8350" w14:textId="77777777" w:rsidR="00F46880" w:rsidRDefault="00F46880">
      <w:pPr>
        <w:pStyle w:val="BodyText"/>
      </w:pPr>
    </w:p>
    <w:p w14:paraId="7B70552C" w14:textId="77777777" w:rsidR="00F46880" w:rsidRDefault="00000000">
      <w:pPr>
        <w:pStyle w:val="BodyText"/>
        <w:spacing w:before="216" w:line="228" w:lineRule="auto"/>
        <w:ind w:right="-140"/>
        <w:jc w:val="both"/>
      </w:pPr>
      <w:r>
        <w:t>In essence, the FDNN serves as a feature extractor, gaining insights into the client data through the extraction of high-level latent representations, which are in their turn heterogeneous.</w:t>
      </w:r>
    </w:p>
    <w:p w14:paraId="1F807345" w14:textId="77777777" w:rsidR="00F46880" w:rsidRDefault="00000000">
      <w:pPr>
        <w:pStyle w:val="BodyText"/>
        <w:spacing w:before="216" w:line="228" w:lineRule="auto"/>
        <w:jc w:val="both"/>
      </w:pPr>
      <w:r>
        <w:rPr>
          <w:sz w:val="18"/>
        </w:rPr>
        <w:t>2</w:t>
      </w:r>
      <w:r>
        <w:t>) Federated Averaging (FedAvg) Aggregation</w:t>
      </w:r>
    </w:p>
    <w:p w14:paraId="1DD2E254" w14:textId="77777777" w:rsidR="00F46880" w:rsidRDefault="00000000">
      <w:pPr>
        <w:pStyle w:val="BodyText"/>
        <w:spacing w:before="216" w:line="228" w:lineRule="auto"/>
        <w:ind w:right="-140"/>
        <w:jc w:val="both"/>
      </w:pPr>
      <w:r>
        <w:t>FedAvg unites local model parameters without disclosing the original data. The global model weights w_g are given by the equation where w_k represents the weights acquired by the client k and n_k the size of the local sample.</w:t>
      </w:r>
    </w:p>
    <w:p w14:paraId="3E417633" w14:textId="77777777" w:rsidR="00F46880" w:rsidRDefault="00000000">
      <w:pPr>
        <w:pStyle w:val="BodyText"/>
        <w:spacing w:before="216" w:line="228" w:lineRule="auto"/>
        <w:ind w:left="199"/>
        <w:jc w:val="both"/>
      </w:pPr>
      <m:oMathPara>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i</m:t>
                          </m:r>
                        </m:sub>
                      </m:sSub>
                    </m:e>
                  </m:nary>
                </m:den>
              </m:f>
            </m:e>
          </m:nary>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k</m:t>
              </m:r>
            </m:sub>
          </m:sSub>
        </m:oMath>
      </m:oMathPara>
    </w:p>
    <w:p w14:paraId="70605984" w14:textId="77777777" w:rsidR="00F46880" w:rsidRDefault="00000000">
      <w:pPr>
        <w:pStyle w:val="BodyText"/>
        <w:spacing w:before="216" w:line="228" w:lineRule="auto"/>
        <w:ind w:right="-140"/>
        <w:jc w:val="both"/>
      </w:pPr>
      <w:r>
        <w:t>This aggregation sees that each client contributes equitably, despite the protection of data privacy.</w:t>
      </w:r>
    </w:p>
    <w:p w14:paraId="3B5718BC" w14:textId="77777777" w:rsidR="00F46880" w:rsidRDefault="00000000">
      <w:pPr>
        <w:pStyle w:val="BodyText"/>
        <w:spacing w:before="216" w:line="228" w:lineRule="auto"/>
        <w:ind w:right="-140"/>
        <w:jc w:val="both"/>
      </w:pPr>
      <w:r>
        <w:t>3) Gradient Boosted Decision Tree (XGBoost / CatBoost) Evaluation</w:t>
      </w:r>
    </w:p>
    <w:p w14:paraId="175CC0D6" w14:textId="77777777" w:rsidR="00F46880" w:rsidRDefault="00000000">
      <w:pPr>
        <w:pStyle w:val="BodyText"/>
        <w:spacing w:before="216" w:line="228" w:lineRule="auto"/>
        <w:ind w:right="-140"/>
        <w:jc w:val="both"/>
      </w:pPr>
      <w:r>
        <w:t>Ensemble classifiers are trained using the deep features that the FDNN has extracted. Gradient boosting reduces an additive objective:</w:t>
      </w:r>
    </w:p>
    <w:p w14:paraId="5C5E91BB" w14:textId="77777777" w:rsidR="00F46880" w:rsidRDefault="00F46880">
      <w:pPr>
        <w:pStyle w:val="BodyText"/>
        <w:spacing w:before="216" w:line="228" w:lineRule="auto"/>
        <w:jc w:val="both"/>
      </w:pPr>
    </w:p>
    <w:p w14:paraId="3309916B" w14:textId="77777777" w:rsidR="00F46880" w:rsidRDefault="00000000">
      <w:pPr>
        <w:pStyle w:val="BodyText"/>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script"/>
                  <m:sty m:val="p"/>
                </m:rPr>
                <w:rPr>
                  <w:rFonts w:ascii="Cambria Math" w:hAnsi="Cambria Math"/>
                </w:rPr>
                <m:t>l</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Ω</m:t>
              </m:r>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e>
          </m:d>
        </m:oMath>
      </m:oMathPara>
    </w:p>
    <w:p w14:paraId="111C9196" w14:textId="77777777" w:rsidR="00F46880" w:rsidRDefault="00F46880">
      <w:pPr>
        <w:pStyle w:val="BodyText"/>
      </w:pPr>
    </w:p>
    <w:p w14:paraId="1009E78F" w14:textId="77777777" w:rsidR="00F46880" w:rsidRDefault="00000000">
      <w:pPr>
        <w:pStyle w:val="BodyText"/>
        <w:spacing w:before="216" w:line="228" w:lineRule="auto"/>
        <w:ind w:right="-140"/>
        <w:jc w:val="both"/>
      </w:pPr>
      <w:r>
        <w:t>In this case, l denotes the loss function while Ω represents a regularization term that governs the complexity of the model. The evaluation of performance is done with the help of precision, recall, and F1-score, which are the main metrics considered:</w:t>
      </w:r>
    </w:p>
    <w:p w14:paraId="67051809" w14:textId="77777777" w:rsidR="00F46880" w:rsidRDefault="00F46880">
      <w:pPr>
        <w:pStyle w:val="BodyText"/>
        <w:spacing w:before="216" w:line="228" w:lineRule="auto"/>
        <w:jc w:val="both"/>
      </w:pPr>
    </w:p>
    <w:p w14:paraId="49780F39" w14:textId="77777777" w:rsidR="00F46880" w:rsidRDefault="00000000">
      <w:pPr>
        <w:pStyle w:val="BodyTex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1DECE483" w14:textId="77777777" w:rsidR="00F46880" w:rsidRDefault="00000000">
      <w:pPr>
        <w:pStyle w:val="BodyText"/>
        <w:spacing w:before="216" w:line="228" w:lineRule="auto"/>
        <w:jc w:val="both"/>
      </w:pPr>
      <m:oMathPara>
        <m:oMathParaPr>
          <m:jc m:val="center"/>
        </m:oMathParaPr>
        <m:oMath>
          <m:r>
            <m:rPr>
              <m:nor/>
            </m:rPr>
            <m:t>F1-score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24073129" w14:textId="77777777" w:rsidR="00F46880" w:rsidRDefault="00F46880">
      <w:pPr>
        <w:pStyle w:val="BodyText"/>
        <w:spacing w:before="216" w:line="228" w:lineRule="auto"/>
        <w:jc w:val="both"/>
      </w:pPr>
    </w:p>
    <w:p w14:paraId="42F5B4E1" w14:textId="77777777" w:rsidR="00F46880" w:rsidRDefault="00F46880">
      <w:pPr>
        <w:pStyle w:val="BodyText"/>
        <w:rPr>
          <w:sz w:val="18"/>
        </w:rPr>
      </w:pPr>
    </w:p>
    <w:p w14:paraId="67290469" w14:textId="77777777" w:rsidR="00F46880" w:rsidRDefault="00000000">
      <w:pPr>
        <w:pStyle w:val="BodyText"/>
      </w:pPr>
      <w:r>
        <w:rPr>
          <w:sz w:val="18"/>
        </w:rPr>
        <w:t>4</w:t>
      </w:r>
      <w:r>
        <w:t>) Explainability Using SHAP</w:t>
      </w:r>
    </w:p>
    <w:p w14:paraId="2B9B26D5" w14:textId="77777777" w:rsidR="00F46880" w:rsidRDefault="00F46880">
      <w:pPr>
        <w:pStyle w:val="BodyText"/>
      </w:pPr>
    </w:p>
    <w:p w14:paraId="7A2D886D" w14:textId="77777777" w:rsidR="00F46880" w:rsidRDefault="00000000">
      <w:pPr>
        <w:pStyle w:val="BodyText"/>
        <w:ind w:right="-140"/>
      </w:pPr>
      <w:r>
        <w:t>SHAP is able to give both local and global interpretability by calculating the contributions of each feature. For a prediction f(x), SHAP breaks it down as:</w:t>
      </w:r>
    </w:p>
    <w:p w14:paraId="3FD7AFA4" w14:textId="77777777" w:rsidR="00F46880" w:rsidRDefault="00F46880">
      <w:pPr>
        <w:pStyle w:val="BodyText"/>
      </w:pPr>
    </w:p>
    <w:p w14:paraId="5079EBBC" w14:textId="77777777" w:rsidR="00F46880"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i</m:t>
                  </m:r>
                </m:sub>
              </m:sSub>
            </m:e>
          </m:nary>
        </m:oMath>
      </m:oMathPara>
    </w:p>
    <w:p w14:paraId="70557E3C" w14:textId="77777777" w:rsidR="00F46880" w:rsidRDefault="00F46880">
      <w:pPr>
        <w:pStyle w:val="BodyText"/>
      </w:pPr>
    </w:p>
    <w:p w14:paraId="1AD8B611" w14:textId="77777777" w:rsidR="00F46880" w:rsidRDefault="00000000">
      <w:pPr>
        <w:pStyle w:val="BodyText"/>
        <w:ind w:right="-140"/>
        <w:jc w:val="both"/>
      </w:pPr>
      <w:r>
        <w:t>where ϕ_i indicates the feature's i contribution and ϕ_0 is the baseline prediction. SHAP analysis provides transparent insights into the roles played by deep features and original variables in the prediction of outbreak risk, thus facilitating the making of trustworthy and explainable decisions.</w:t>
      </w:r>
    </w:p>
    <w:p w14:paraId="06CD5DCE" w14:textId="77777777" w:rsidR="00F46880" w:rsidRDefault="00000000">
      <w:pPr>
        <w:pStyle w:val="BodyText"/>
        <w:ind w:left="-284"/>
        <w:jc w:val="center"/>
      </w:pPr>
      <w:r>
        <w:rPr>
          <w:noProof/>
        </w:rPr>
        <w:drawing>
          <wp:inline distT="0" distB="0" distL="0" distR="0" wp14:anchorId="4A071AF8" wp14:editId="0DA289F1">
            <wp:extent cx="3151505" cy="4122420"/>
            <wp:effectExtent l="0" t="0" r="0" b="0"/>
            <wp:docPr id="30451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11691" name="Picture 1"/>
                    <pic:cNvPicPr>
                      <a:picLocks noChangeAspect="1"/>
                    </pic:cNvPicPr>
                  </pic:nvPicPr>
                  <pic:blipFill>
                    <a:blip r:embed="rId17"/>
                    <a:stretch>
                      <a:fillRect/>
                    </a:stretch>
                  </pic:blipFill>
                  <pic:spPr>
                    <a:xfrm>
                      <a:off x="0" y="0"/>
                      <a:ext cx="3151505" cy="4122420"/>
                    </a:xfrm>
                    <a:prstGeom prst="rect">
                      <a:avLst/>
                    </a:prstGeom>
                  </pic:spPr>
                </pic:pic>
              </a:graphicData>
            </a:graphic>
          </wp:inline>
        </w:drawing>
      </w:r>
    </w:p>
    <w:p w14:paraId="0F946116" w14:textId="77777777" w:rsidR="00F46880" w:rsidRDefault="00000000">
      <w:pPr>
        <w:pStyle w:val="BodyText"/>
        <w:jc w:val="center"/>
        <w:rPr>
          <w:sz w:val="18"/>
        </w:rPr>
      </w:pPr>
      <w:r>
        <w:rPr>
          <w:sz w:val="18"/>
        </w:rPr>
        <w:t>Fig 2 .Explainability plot (FDNN  + XGBoost)</w:t>
      </w:r>
    </w:p>
    <w:p w14:paraId="4A5D33C7" w14:textId="77777777" w:rsidR="00F46880" w:rsidRDefault="00F46880">
      <w:pPr>
        <w:pStyle w:val="BodyText"/>
        <w:rPr>
          <w:sz w:val="18"/>
        </w:rPr>
      </w:pPr>
    </w:p>
    <w:p w14:paraId="74982844" w14:textId="77777777" w:rsidR="00F46880" w:rsidRDefault="00F46880">
      <w:pPr>
        <w:spacing w:before="8"/>
        <w:rPr>
          <w:i/>
          <w:sz w:val="16"/>
        </w:rPr>
      </w:pPr>
    </w:p>
    <w:p w14:paraId="0C4DA3C7" w14:textId="77777777" w:rsidR="00F46880" w:rsidRDefault="00000000">
      <w:pPr>
        <w:pStyle w:val="ListParagraph"/>
        <w:numPr>
          <w:ilvl w:val="0"/>
          <w:numId w:val="1"/>
        </w:numPr>
        <w:tabs>
          <w:tab w:val="left" w:pos="681"/>
        </w:tabs>
        <w:jc w:val="both"/>
        <w:rPr>
          <w:sz w:val="20"/>
        </w:rPr>
      </w:pPr>
      <w:r>
        <w:rPr>
          <w:smallCaps/>
          <w:spacing w:val="-2"/>
          <w:sz w:val="20"/>
        </w:rPr>
        <w:t xml:space="preserve">RESULTS </w:t>
      </w:r>
    </w:p>
    <w:p w14:paraId="1990D280" w14:textId="77777777" w:rsidR="00F46880" w:rsidRDefault="00F46880">
      <w:pPr>
        <w:pStyle w:val="BodyText"/>
        <w:rPr>
          <w:sz w:val="18"/>
        </w:rPr>
      </w:pPr>
    </w:p>
    <w:p w14:paraId="63E83DBB" w14:textId="77777777" w:rsidR="00F46880" w:rsidRDefault="00000000">
      <w:pPr>
        <w:pStyle w:val="BodyText"/>
        <w:numPr>
          <w:ilvl w:val="0"/>
          <w:numId w:val="3"/>
        </w:numPr>
        <w:ind w:left="142" w:hanging="426"/>
        <w:rPr>
          <w:sz w:val="18"/>
        </w:rPr>
      </w:pPr>
      <w:r>
        <w:rPr>
          <w:sz w:val="18"/>
        </w:rPr>
        <w:t xml:space="preserve">Federated FDNN + XGBoost </w:t>
      </w:r>
    </w:p>
    <w:p w14:paraId="5F9528D7" w14:textId="77777777" w:rsidR="00F46880" w:rsidRDefault="00F46880">
      <w:pPr>
        <w:pStyle w:val="BodyText"/>
        <w:ind w:left="284"/>
        <w:rPr>
          <w:sz w:val="18"/>
        </w:rPr>
      </w:pPr>
    </w:p>
    <w:p w14:paraId="784CAE3F" w14:textId="77777777" w:rsidR="00F46880" w:rsidRDefault="00000000">
      <w:pPr>
        <w:pStyle w:val="BodyText"/>
        <w:ind w:left="-284"/>
        <w:jc w:val="both"/>
      </w:pPr>
      <w:r>
        <w:t>The fusion of Federated Deep Neural Network and XGBoost exhibits excellent and uniform predictive power all through the different outbreak risk categories. The model aptly utilizes federated deep features and ensemble learning to secure high classification accuracy and cross-class performance that is also balanced.</w:t>
      </w:r>
    </w:p>
    <w:p w14:paraId="30C5A78A" w14:textId="77777777" w:rsidR="00F46880" w:rsidRDefault="00F46880">
      <w:pPr>
        <w:pStyle w:val="BodyText"/>
        <w:ind w:left="-284"/>
        <w:jc w:val="both"/>
      </w:pPr>
    </w:p>
    <w:p w14:paraId="29B92E54" w14:textId="77777777" w:rsidR="00F46880" w:rsidRDefault="00000000">
      <w:pPr>
        <w:pStyle w:val="BodyText"/>
        <w:ind w:left="-284"/>
        <w:jc w:val="both"/>
      </w:pPr>
      <w:r>
        <w:t>The method put forth accomplishes a total accuracy of 96.12%, along with high precision, recall, and F1-scores for low-, medium-, and high-risk categories, which shows strong generalization and dependable outbreak risk prediction across various data sources.</w:t>
      </w:r>
    </w:p>
    <w:p w14:paraId="40331426" w14:textId="77777777" w:rsidR="00F46880" w:rsidRDefault="00F46880">
      <w:pPr>
        <w:pStyle w:val="BodyText"/>
        <w:rPr>
          <w:sz w:val="18"/>
        </w:rPr>
      </w:pPr>
    </w:p>
    <w:p w14:paraId="0298C229" w14:textId="77777777" w:rsidR="00F46880" w:rsidRDefault="00000000">
      <w:pPr>
        <w:pStyle w:val="BodyText"/>
        <w:rPr>
          <w:sz w:val="18"/>
        </w:rPr>
      </w:pPr>
      <w:r>
        <w:rPr>
          <w:noProof/>
          <w:sz w:val="18"/>
        </w:rPr>
        <w:drawing>
          <wp:inline distT="0" distB="0" distL="0" distR="0" wp14:anchorId="2F92A0F8" wp14:editId="27360956">
            <wp:extent cx="3025140" cy="2426970"/>
            <wp:effectExtent l="0" t="0" r="3810" b="0"/>
            <wp:docPr id="45907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8253"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037433" cy="2436832"/>
                    </a:xfrm>
                    <a:prstGeom prst="rect">
                      <a:avLst/>
                    </a:prstGeom>
                  </pic:spPr>
                </pic:pic>
              </a:graphicData>
            </a:graphic>
          </wp:inline>
        </w:drawing>
      </w:r>
    </w:p>
    <w:p w14:paraId="395D55E5" w14:textId="77777777" w:rsidR="00F46880" w:rsidRDefault="00F46880">
      <w:pPr>
        <w:pStyle w:val="BodyText"/>
        <w:rPr>
          <w:sz w:val="18"/>
        </w:rPr>
      </w:pPr>
    </w:p>
    <w:p w14:paraId="4CB4F21B" w14:textId="38112BAC" w:rsidR="00F46880" w:rsidRDefault="00000000">
      <w:pPr>
        <w:pStyle w:val="BodyText"/>
        <w:jc w:val="center"/>
        <w:rPr>
          <w:sz w:val="18"/>
        </w:rPr>
      </w:pPr>
      <w:r>
        <w:rPr>
          <w:sz w:val="18"/>
        </w:rPr>
        <w:t xml:space="preserve">Fig </w:t>
      </w:r>
      <w:r w:rsidR="0095737F">
        <w:rPr>
          <w:sz w:val="18"/>
        </w:rPr>
        <w:t>3</w:t>
      </w:r>
      <w:r>
        <w:rPr>
          <w:sz w:val="18"/>
        </w:rPr>
        <w:t xml:space="preserve"> .Confusion Matrix of (FDNN  + XGBoost)</w:t>
      </w:r>
    </w:p>
    <w:p w14:paraId="54B8E454" w14:textId="77777777" w:rsidR="00F46880" w:rsidRDefault="00F46880">
      <w:pPr>
        <w:pStyle w:val="BodyText"/>
        <w:rPr>
          <w:sz w:val="18"/>
        </w:rPr>
      </w:pPr>
    </w:p>
    <w:p w14:paraId="541C4148" w14:textId="77777777" w:rsidR="00F46880" w:rsidRDefault="00F46880">
      <w:pPr>
        <w:pStyle w:val="BodyText"/>
        <w:jc w:val="both"/>
        <w:rPr>
          <w:sz w:val="18"/>
        </w:rPr>
      </w:pPr>
    </w:p>
    <w:p w14:paraId="5B014E08" w14:textId="77777777" w:rsidR="00F46880" w:rsidRDefault="00000000">
      <w:pPr>
        <w:pStyle w:val="BodyText"/>
        <w:numPr>
          <w:ilvl w:val="0"/>
          <w:numId w:val="3"/>
        </w:numPr>
        <w:ind w:left="426" w:hanging="426"/>
        <w:rPr>
          <w:sz w:val="18"/>
        </w:rPr>
      </w:pPr>
      <w:r>
        <w:rPr>
          <w:sz w:val="18"/>
        </w:rPr>
        <w:t xml:space="preserve">Federated FDNN + CatBoost </w:t>
      </w:r>
    </w:p>
    <w:p w14:paraId="5C1B71CE" w14:textId="77777777" w:rsidR="00F46880" w:rsidRDefault="00F46880">
      <w:pPr>
        <w:pStyle w:val="BodyText"/>
        <w:ind w:left="284"/>
        <w:jc w:val="both"/>
        <w:rPr>
          <w:sz w:val="18"/>
        </w:rPr>
      </w:pPr>
    </w:p>
    <w:p w14:paraId="23E9D111" w14:textId="77777777" w:rsidR="00F46880" w:rsidRDefault="00000000">
      <w:pPr>
        <w:pStyle w:val="BodyText"/>
        <w:ind w:right="-140"/>
        <w:jc w:val="both"/>
        <w:rPr>
          <w:sz w:val="18"/>
        </w:rPr>
      </w:pPr>
      <w:r>
        <w:rPr>
          <w:sz w:val="18"/>
        </w:rPr>
        <w:t>The Federated Deep Neural Network has shown convergence of a very strong degree when combined with CatBoost, as the training loss has been constantly over all iterations, which means the model has been greatly learning from federated deep features. The model is able to reflect the non-linear relationships while being stable during the training process.</w:t>
      </w:r>
    </w:p>
    <w:p w14:paraId="5C063BDC" w14:textId="77777777" w:rsidR="00F46880" w:rsidRDefault="00F46880">
      <w:pPr>
        <w:pStyle w:val="BodyText"/>
        <w:ind w:right="-140" w:firstLine="142"/>
        <w:jc w:val="both"/>
        <w:rPr>
          <w:sz w:val="18"/>
        </w:rPr>
      </w:pPr>
    </w:p>
    <w:p w14:paraId="76335A15" w14:textId="77777777" w:rsidR="00F46880" w:rsidRDefault="00000000">
      <w:pPr>
        <w:pStyle w:val="BodyText"/>
        <w:ind w:right="-140"/>
        <w:jc w:val="both"/>
        <w:rPr>
          <w:sz w:val="18"/>
        </w:rPr>
      </w:pPr>
      <w:r>
        <w:rPr>
          <w:sz w:val="18"/>
        </w:rPr>
        <w:t>The hybrid FDNN + CatBoost model reaches an overall accuracy of 94.87%, in addition to having precision and recall that are very high in all outbreak risk classes. The balanced performance of the model across the different classes strengthens its case as a robust and dependable predictor of zoonotic outbreak risk in a federated setting.</w:t>
      </w:r>
    </w:p>
    <w:p w14:paraId="2B13DECD" w14:textId="77777777" w:rsidR="00F46880" w:rsidRDefault="00F46880">
      <w:pPr>
        <w:pStyle w:val="BodyText"/>
        <w:jc w:val="both"/>
        <w:rPr>
          <w:sz w:val="18"/>
        </w:rPr>
      </w:pPr>
    </w:p>
    <w:p w14:paraId="34572C06" w14:textId="77777777" w:rsidR="00F46880" w:rsidRDefault="00000000">
      <w:pPr>
        <w:pStyle w:val="BodyText"/>
        <w:ind w:right="-140"/>
        <w:jc w:val="both"/>
        <w:rPr>
          <w:sz w:val="18"/>
        </w:rPr>
      </w:pPr>
      <w:r>
        <w:rPr>
          <w:noProof/>
          <w:sz w:val="18"/>
        </w:rPr>
        <w:drawing>
          <wp:inline distT="0" distB="0" distL="0" distR="0" wp14:anchorId="5F10E768" wp14:editId="268A5F58">
            <wp:extent cx="3215640" cy="3017520"/>
            <wp:effectExtent l="0" t="0" r="3810" b="0"/>
            <wp:docPr id="2010245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5693" name="Picture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215640" cy="3017520"/>
                    </a:xfrm>
                    <a:prstGeom prst="rect">
                      <a:avLst/>
                    </a:prstGeom>
                  </pic:spPr>
                </pic:pic>
              </a:graphicData>
            </a:graphic>
          </wp:inline>
        </w:drawing>
      </w:r>
    </w:p>
    <w:p w14:paraId="0F40BBF2" w14:textId="77777777" w:rsidR="00F46880" w:rsidRDefault="00F46880">
      <w:pPr>
        <w:pStyle w:val="BodyText"/>
        <w:jc w:val="both"/>
        <w:rPr>
          <w:sz w:val="18"/>
        </w:rPr>
      </w:pPr>
    </w:p>
    <w:p w14:paraId="4176FD9E" w14:textId="7AA54A20" w:rsidR="00F46880" w:rsidRDefault="00000000">
      <w:pPr>
        <w:pStyle w:val="BodyText"/>
        <w:jc w:val="center"/>
        <w:rPr>
          <w:sz w:val="18"/>
        </w:rPr>
      </w:pPr>
      <w:r>
        <w:rPr>
          <w:sz w:val="18"/>
        </w:rPr>
        <w:t xml:space="preserve">Fig </w:t>
      </w:r>
      <w:r w:rsidR="0095737F">
        <w:rPr>
          <w:sz w:val="18"/>
        </w:rPr>
        <w:t>4</w:t>
      </w:r>
      <w:r>
        <w:rPr>
          <w:sz w:val="18"/>
        </w:rPr>
        <w:t>. Confusion Matrix of Global FDNN + CatBoost</w:t>
      </w:r>
    </w:p>
    <w:p w14:paraId="0CEC73EA" w14:textId="77777777" w:rsidR="00F46880" w:rsidRDefault="00F46880">
      <w:pPr>
        <w:pStyle w:val="BodyText"/>
        <w:jc w:val="both"/>
        <w:rPr>
          <w:sz w:val="18"/>
        </w:rPr>
      </w:pPr>
    </w:p>
    <w:p w14:paraId="66277F7E" w14:textId="77777777" w:rsidR="00F46880" w:rsidRDefault="00F46880">
      <w:pPr>
        <w:pStyle w:val="BodyText"/>
        <w:jc w:val="both"/>
        <w:rPr>
          <w:sz w:val="18"/>
        </w:rPr>
      </w:pPr>
    </w:p>
    <w:p w14:paraId="1452FA6A" w14:textId="77777777" w:rsidR="00F46880" w:rsidRDefault="00000000">
      <w:pPr>
        <w:pStyle w:val="BodyText"/>
        <w:rPr>
          <w:sz w:val="18"/>
        </w:rPr>
      </w:pPr>
      <w:r>
        <w:rPr>
          <w:noProof/>
          <w:sz w:val="18"/>
        </w:rPr>
        <w:drawing>
          <wp:inline distT="0" distB="0" distL="0" distR="0" wp14:anchorId="25786F4A" wp14:editId="185225D4">
            <wp:extent cx="3215640" cy="2895600"/>
            <wp:effectExtent l="0" t="0" r="3810" b="0"/>
            <wp:docPr id="8772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56429" name="Picture 1"/>
                    <pic:cNvPicPr>
                      <a:picLocks noChangeAspect="1"/>
                    </pic:cNvPicPr>
                  </pic:nvPicPr>
                  <pic:blipFill>
                    <a:blip r:embed="rId20"/>
                    <a:stretch>
                      <a:fillRect/>
                    </a:stretch>
                  </pic:blipFill>
                  <pic:spPr>
                    <a:xfrm>
                      <a:off x="0" y="0"/>
                      <a:ext cx="3215640" cy="2895600"/>
                    </a:xfrm>
                    <a:prstGeom prst="rect">
                      <a:avLst/>
                    </a:prstGeom>
                  </pic:spPr>
                </pic:pic>
              </a:graphicData>
            </a:graphic>
          </wp:inline>
        </w:drawing>
      </w:r>
    </w:p>
    <w:p w14:paraId="4E5D6EBA" w14:textId="77777777" w:rsidR="00F46880" w:rsidRDefault="00F46880">
      <w:pPr>
        <w:pStyle w:val="BodyText"/>
        <w:jc w:val="center"/>
        <w:rPr>
          <w:sz w:val="18"/>
        </w:rPr>
      </w:pPr>
    </w:p>
    <w:p w14:paraId="716DB494" w14:textId="1AB077E9" w:rsidR="00F46880" w:rsidRDefault="00000000">
      <w:pPr>
        <w:pStyle w:val="BodyText"/>
        <w:jc w:val="center"/>
        <w:rPr>
          <w:sz w:val="18"/>
        </w:rPr>
      </w:pPr>
      <w:r>
        <w:rPr>
          <w:sz w:val="18"/>
        </w:rPr>
        <w:t xml:space="preserve">Fig </w:t>
      </w:r>
      <w:r w:rsidR="0095737F">
        <w:rPr>
          <w:sz w:val="18"/>
        </w:rPr>
        <w:t>5</w:t>
      </w:r>
      <w:r>
        <w:rPr>
          <w:sz w:val="18"/>
        </w:rPr>
        <w:t>. Model Comparison plot</w:t>
      </w:r>
    </w:p>
    <w:p w14:paraId="18B577E5" w14:textId="77777777" w:rsidR="00F46880" w:rsidRDefault="00F46880">
      <w:pPr>
        <w:pStyle w:val="BodyText"/>
        <w:rPr>
          <w:sz w:val="18"/>
        </w:rPr>
      </w:pPr>
    </w:p>
    <w:p w14:paraId="04C555DA" w14:textId="77777777" w:rsidR="00F46880" w:rsidRDefault="00000000">
      <w:pPr>
        <w:pStyle w:val="BodyText"/>
        <w:ind w:right="-140"/>
        <w:jc w:val="both"/>
      </w:pPr>
      <w:r>
        <w:t xml:space="preserve">The comparison of models indicates that the strong performance of individual client models trained on farm, hospital, and wildlife data is accompanied by different levels of accuracy that are mainly caused by the variations of data characteristics and feature distributions. The local hospital </w:t>
      </w:r>
      <w:r>
        <w:t>model is slightly better than the other local models, which</w:t>
      </w:r>
    </w:p>
    <w:p w14:paraId="217B2E84" w14:textId="77777777" w:rsidR="00F46880" w:rsidRDefault="00000000">
      <w:pPr>
        <w:pStyle w:val="BodyText"/>
        <w:ind w:left="-284" w:right="-140"/>
        <w:jc w:val="both"/>
      </w:pPr>
      <w:r>
        <w:t>indicates that the clinical and epidemiological features have very strong predictive signals. The federated hybrid methods, however, continue to surpass all solo models in accuracy. Specifically, the Global FDNN plus XGBoost hits the peak for accuracy and thus being the most powerful model in terms of performance. This is because it manages to not only aggregate the knowledge from various clients but also apply deep feature representations with gradient-boosted trees. The FDNN + CatBoost model while it does not do as well as the XGBoost model, it is still a strong contender as it just a little bit behind. The whole comparison clearly shows that federated learning coupled with hybrid modeling is the most stable, accurate, and general method to predict outbreak risks compared to local models alone.</w:t>
      </w:r>
    </w:p>
    <w:p w14:paraId="0DB438C6" w14:textId="77777777" w:rsidR="00F46880" w:rsidRDefault="00F46880">
      <w:pPr>
        <w:pStyle w:val="BodyText"/>
        <w:jc w:val="both"/>
      </w:pPr>
    </w:p>
    <w:p w14:paraId="55F2CDF5" w14:textId="77777777" w:rsidR="00F46880" w:rsidRDefault="00F46880">
      <w:pPr>
        <w:pStyle w:val="BodyText"/>
        <w:jc w:val="both"/>
      </w:pPr>
    </w:p>
    <w:tbl>
      <w:tblPr>
        <w:tblStyle w:val="Table"/>
        <w:tblW w:w="4921" w:type="dxa"/>
        <w:tblInd w:w="0" w:type="dxa"/>
        <w:tblLook w:val="04A0" w:firstRow="1" w:lastRow="0" w:firstColumn="1" w:lastColumn="0" w:noHBand="0" w:noVBand="1"/>
      </w:tblPr>
      <w:tblGrid>
        <w:gridCol w:w="1425"/>
        <w:gridCol w:w="829"/>
        <w:gridCol w:w="993"/>
        <w:gridCol w:w="806"/>
        <w:gridCol w:w="868"/>
      </w:tblGrid>
      <w:tr w:rsidR="00F46880" w14:paraId="25F95FE5" w14:textId="77777777" w:rsidTr="00F46880">
        <w:trPr>
          <w:cnfStyle w:val="100000000000" w:firstRow="1" w:lastRow="0" w:firstColumn="0" w:lastColumn="0" w:oddVBand="0" w:evenVBand="0" w:oddHBand="0" w:evenHBand="0" w:firstRowFirstColumn="0" w:firstRowLastColumn="0" w:lastRowFirstColumn="0" w:lastRowLastColumn="0"/>
          <w:trHeight w:val="428"/>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5ED41B86" w14:textId="77777777" w:rsidR="00F46880" w:rsidRDefault="00000000">
            <w:pPr>
              <w:pStyle w:val="Compact"/>
              <w:jc w:val="center"/>
              <w:rPr>
                <w:rFonts w:ascii="Times New Roman" w:hAnsi="Times New Roman" w:cs="Times New Roman"/>
                <w:sz w:val="16"/>
                <w:szCs w:val="16"/>
                <w:lang w:eastAsia="en-IN" w:bidi="te-IN"/>
              </w:rPr>
            </w:pPr>
            <w:bookmarkStart w:id="0" w:name="_Hlk218320841"/>
            <w:r>
              <w:rPr>
                <w:rFonts w:ascii="Times New Roman" w:hAnsi="Times New Roman" w:cs="Times New Roman"/>
                <w:sz w:val="16"/>
                <w:szCs w:val="16"/>
                <w:lang w:eastAsia="en-IN" w:bidi="te-IN"/>
              </w:rPr>
              <w:t>Model</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A30D6A0" w14:textId="77777777" w:rsidR="00F46880" w:rsidRDefault="00000000">
            <w:pPr>
              <w:pStyle w:val="Compact"/>
              <w:jc w:val="center"/>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Accuracy</w:t>
            </w:r>
          </w:p>
        </w:tc>
        <w:tc>
          <w:tcPr>
            <w:tcW w:w="0" w:type="auto"/>
            <w:tcBorders>
              <w:top w:val="single" w:sz="10" w:space="0" w:color="000000"/>
              <w:left w:val="single" w:sz="10" w:space="0" w:color="000000"/>
              <w:bottom w:val="single" w:sz="10" w:space="0" w:color="000000"/>
              <w:right w:val="single" w:sz="10" w:space="0" w:color="000000"/>
            </w:tcBorders>
            <w:vAlign w:val="center"/>
          </w:tcPr>
          <w:p w14:paraId="0EA65DAB" w14:textId="77777777" w:rsidR="00F46880" w:rsidRDefault="00000000">
            <w:pPr>
              <w:pStyle w:val="Compact"/>
              <w:jc w:val="center"/>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Precision (Avg)</w:t>
            </w:r>
          </w:p>
        </w:tc>
        <w:tc>
          <w:tcPr>
            <w:tcW w:w="0" w:type="auto"/>
            <w:tcBorders>
              <w:top w:val="single" w:sz="10" w:space="0" w:color="000000"/>
              <w:left w:val="single" w:sz="10" w:space="0" w:color="000000"/>
              <w:bottom w:val="single" w:sz="10" w:space="0" w:color="000000"/>
              <w:right w:val="single" w:sz="10" w:space="0" w:color="000000"/>
            </w:tcBorders>
            <w:vAlign w:val="center"/>
          </w:tcPr>
          <w:p w14:paraId="1F641CAD" w14:textId="77777777" w:rsidR="00F46880" w:rsidRDefault="00000000">
            <w:pPr>
              <w:pStyle w:val="Compact"/>
              <w:jc w:val="center"/>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Recall (Avg)</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EACCB1F" w14:textId="77777777" w:rsidR="00F46880" w:rsidRDefault="00000000">
            <w:pPr>
              <w:pStyle w:val="Compact"/>
              <w:jc w:val="center"/>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F1-Score (Avg)</w:t>
            </w:r>
          </w:p>
        </w:tc>
      </w:tr>
      <w:tr w:rsidR="00F46880" w14:paraId="34AFBE72" w14:textId="77777777" w:rsidTr="00F46880">
        <w:trPr>
          <w:trHeight w:val="416"/>
        </w:trPr>
        <w:tc>
          <w:tcPr>
            <w:tcW w:w="0" w:type="auto"/>
            <w:tcBorders>
              <w:top w:val="single" w:sz="10" w:space="0" w:color="000000"/>
              <w:left w:val="single" w:sz="10" w:space="0" w:color="000000"/>
              <w:bottom w:val="single" w:sz="10" w:space="0" w:color="000000"/>
              <w:right w:val="single" w:sz="10" w:space="0" w:color="000000"/>
            </w:tcBorders>
          </w:tcPr>
          <w:p w14:paraId="6AE0A2CA"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Local FDNN – Farm Client</w:t>
            </w:r>
          </w:p>
        </w:tc>
        <w:tc>
          <w:tcPr>
            <w:tcW w:w="0" w:type="auto"/>
            <w:tcBorders>
              <w:top w:val="single" w:sz="10" w:space="0" w:color="000000"/>
              <w:left w:val="single" w:sz="10" w:space="0" w:color="000000"/>
              <w:bottom w:val="single" w:sz="10" w:space="0" w:color="000000"/>
              <w:right w:val="single" w:sz="10" w:space="0" w:color="000000"/>
            </w:tcBorders>
          </w:tcPr>
          <w:p w14:paraId="46D20DFA"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0.9697</w:t>
            </w:r>
          </w:p>
        </w:tc>
        <w:tc>
          <w:tcPr>
            <w:tcW w:w="0" w:type="auto"/>
            <w:tcBorders>
              <w:top w:val="single" w:sz="10" w:space="0" w:color="000000"/>
              <w:left w:val="single" w:sz="10" w:space="0" w:color="000000"/>
              <w:bottom w:val="single" w:sz="10" w:space="0" w:color="000000"/>
              <w:right w:val="single" w:sz="10" w:space="0" w:color="000000"/>
            </w:tcBorders>
          </w:tcPr>
          <w:p w14:paraId="036F0D8F"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0.97</w:t>
            </w:r>
          </w:p>
        </w:tc>
        <w:tc>
          <w:tcPr>
            <w:tcW w:w="0" w:type="auto"/>
            <w:tcBorders>
              <w:top w:val="single" w:sz="10" w:space="0" w:color="000000"/>
              <w:left w:val="single" w:sz="10" w:space="0" w:color="000000"/>
              <w:bottom w:val="single" w:sz="10" w:space="0" w:color="000000"/>
              <w:right w:val="single" w:sz="10" w:space="0" w:color="000000"/>
            </w:tcBorders>
          </w:tcPr>
          <w:p w14:paraId="5667E357"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0.97</w:t>
            </w:r>
          </w:p>
        </w:tc>
        <w:tc>
          <w:tcPr>
            <w:tcW w:w="0" w:type="auto"/>
            <w:tcBorders>
              <w:top w:val="single" w:sz="10" w:space="0" w:color="000000"/>
              <w:left w:val="single" w:sz="10" w:space="0" w:color="000000"/>
              <w:bottom w:val="single" w:sz="10" w:space="0" w:color="000000"/>
              <w:right w:val="single" w:sz="10" w:space="0" w:color="000000"/>
            </w:tcBorders>
          </w:tcPr>
          <w:p w14:paraId="6A8969E1"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0.97</w:t>
            </w:r>
          </w:p>
        </w:tc>
      </w:tr>
      <w:tr w:rsidR="00F46880" w14:paraId="5BBAECEA" w14:textId="77777777" w:rsidTr="00F46880">
        <w:trPr>
          <w:trHeight w:val="428"/>
        </w:trPr>
        <w:tc>
          <w:tcPr>
            <w:tcW w:w="0" w:type="auto"/>
            <w:tcBorders>
              <w:top w:val="single" w:sz="10" w:space="0" w:color="000000"/>
              <w:left w:val="single" w:sz="10" w:space="0" w:color="000000"/>
              <w:bottom w:val="single" w:sz="10" w:space="0" w:color="000000"/>
              <w:right w:val="single" w:sz="10" w:space="0" w:color="000000"/>
            </w:tcBorders>
          </w:tcPr>
          <w:p w14:paraId="5529EFDB"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Local FDNN – Hospital Client</w:t>
            </w:r>
          </w:p>
        </w:tc>
        <w:tc>
          <w:tcPr>
            <w:tcW w:w="0" w:type="auto"/>
            <w:tcBorders>
              <w:top w:val="single" w:sz="10" w:space="0" w:color="000000"/>
              <w:left w:val="single" w:sz="10" w:space="0" w:color="000000"/>
              <w:bottom w:val="single" w:sz="10" w:space="0" w:color="000000"/>
              <w:right w:val="single" w:sz="10" w:space="0" w:color="000000"/>
            </w:tcBorders>
          </w:tcPr>
          <w:p w14:paraId="44E39999"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0.9810</w:t>
            </w:r>
          </w:p>
        </w:tc>
        <w:tc>
          <w:tcPr>
            <w:tcW w:w="0" w:type="auto"/>
            <w:tcBorders>
              <w:top w:val="single" w:sz="10" w:space="0" w:color="000000"/>
              <w:left w:val="single" w:sz="10" w:space="0" w:color="000000"/>
              <w:bottom w:val="single" w:sz="10" w:space="0" w:color="000000"/>
              <w:right w:val="single" w:sz="10" w:space="0" w:color="000000"/>
            </w:tcBorders>
          </w:tcPr>
          <w:p w14:paraId="6A8851C7"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0.98</w:t>
            </w:r>
          </w:p>
        </w:tc>
        <w:tc>
          <w:tcPr>
            <w:tcW w:w="0" w:type="auto"/>
            <w:tcBorders>
              <w:top w:val="single" w:sz="10" w:space="0" w:color="000000"/>
              <w:left w:val="single" w:sz="10" w:space="0" w:color="000000"/>
              <w:bottom w:val="single" w:sz="10" w:space="0" w:color="000000"/>
              <w:right w:val="single" w:sz="10" w:space="0" w:color="000000"/>
            </w:tcBorders>
          </w:tcPr>
          <w:p w14:paraId="0AB63F46"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0.98</w:t>
            </w:r>
          </w:p>
        </w:tc>
        <w:tc>
          <w:tcPr>
            <w:tcW w:w="0" w:type="auto"/>
            <w:tcBorders>
              <w:top w:val="single" w:sz="10" w:space="0" w:color="000000"/>
              <w:left w:val="single" w:sz="10" w:space="0" w:color="000000"/>
              <w:bottom w:val="single" w:sz="10" w:space="0" w:color="000000"/>
              <w:right w:val="single" w:sz="10" w:space="0" w:color="000000"/>
            </w:tcBorders>
          </w:tcPr>
          <w:p w14:paraId="0CA61D33"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0.98</w:t>
            </w:r>
          </w:p>
        </w:tc>
      </w:tr>
      <w:tr w:rsidR="00F46880" w14:paraId="1B4C29E8" w14:textId="77777777" w:rsidTr="00F46880">
        <w:trPr>
          <w:trHeight w:val="428"/>
        </w:trPr>
        <w:tc>
          <w:tcPr>
            <w:tcW w:w="0" w:type="auto"/>
            <w:tcBorders>
              <w:top w:val="single" w:sz="10" w:space="0" w:color="000000"/>
              <w:left w:val="single" w:sz="10" w:space="0" w:color="000000"/>
              <w:bottom w:val="single" w:sz="10" w:space="0" w:color="000000"/>
              <w:right w:val="single" w:sz="10" w:space="0" w:color="000000"/>
            </w:tcBorders>
          </w:tcPr>
          <w:p w14:paraId="2D1FC079"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Local FDNN – Wildlife Client</w:t>
            </w:r>
          </w:p>
        </w:tc>
        <w:tc>
          <w:tcPr>
            <w:tcW w:w="0" w:type="auto"/>
            <w:tcBorders>
              <w:top w:val="single" w:sz="10" w:space="0" w:color="000000"/>
              <w:left w:val="single" w:sz="10" w:space="0" w:color="000000"/>
              <w:bottom w:val="single" w:sz="10" w:space="0" w:color="000000"/>
              <w:right w:val="single" w:sz="10" w:space="0" w:color="000000"/>
            </w:tcBorders>
          </w:tcPr>
          <w:p w14:paraId="3627B846"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0.9640</w:t>
            </w:r>
          </w:p>
        </w:tc>
        <w:tc>
          <w:tcPr>
            <w:tcW w:w="0" w:type="auto"/>
            <w:tcBorders>
              <w:top w:val="single" w:sz="10" w:space="0" w:color="000000"/>
              <w:left w:val="single" w:sz="10" w:space="0" w:color="000000"/>
              <w:bottom w:val="single" w:sz="10" w:space="0" w:color="000000"/>
              <w:right w:val="single" w:sz="10" w:space="0" w:color="000000"/>
            </w:tcBorders>
          </w:tcPr>
          <w:p w14:paraId="2CD538DC"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w:t>
            </w:r>
          </w:p>
        </w:tc>
        <w:tc>
          <w:tcPr>
            <w:tcW w:w="0" w:type="auto"/>
            <w:tcBorders>
              <w:top w:val="single" w:sz="10" w:space="0" w:color="000000"/>
              <w:left w:val="single" w:sz="10" w:space="0" w:color="000000"/>
              <w:bottom w:val="single" w:sz="10" w:space="0" w:color="000000"/>
              <w:right w:val="single" w:sz="10" w:space="0" w:color="000000"/>
            </w:tcBorders>
          </w:tcPr>
          <w:p w14:paraId="0AF32B30"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w:t>
            </w:r>
          </w:p>
        </w:tc>
        <w:tc>
          <w:tcPr>
            <w:tcW w:w="0" w:type="auto"/>
            <w:tcBorders>
              <w:top w:val="single" w:sz="10" w:space="0" w:color="000000"/>
              <w:left w:val="single" w:sz="10" w:space="0" w:color="000000"/>
              <w:bottom w:val="single" w:sz="10" w:space="0" w:color="000000"/>
              <w:right w:val="single" w:sz="10" w:space="0" w:color="000000"/>
            </w:tcBorders>
          </w:tcPr>
          <w:p w14:paraId="2DCC8D0E"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w:t>
            </w:r>
          </w:p>
        </w:tc>
      </w:tr>
      <w:tr w:rsidR="00F46880" w14:paraId="6CE49E38" w14:textId="77777777" w:rsidTr="00F46880">
        <w:trPr>
          <w:trHeight w:val="428"/>
        </w:trPr>
        <w:tc>
          <w:tcPr>
            <w:tcW w:w="0" w:type="auto"/>
            <w:tcBorders>
              <w:top w:val="single" w:sz="10" w:space="0" w:color="000000"/>
              <w:left w:val="single" w:sz="10" w:space="0" w:color="000000"/>
              <w:bottom w:val="single" w:sz="10" w:space="0" w:color="000000"/>
              <w:right w:val="single" w:sz="10" w:space="0" w:color="000000"/>
            </w:tcBorders>
          </w:tcPr>
          <w:p w14:paraId="53F05843"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Federated FDNN + XGBoost</w:t>
            </w:r>
          </w:p>
        </w:tc>
        <w:tc>
          <w:tcPr>
            <w:tcW w:w="0" w:type="auto"/>
            <w:tcBorders>
              <w:top w:val="single" w:sz="10" w:space="0" w:color="000000"/>
              <w:left w:val="single" w:sz="10" w:space="0" w:color="000000"/>
              <w:bottom w:val="single" w:sz="10" w:space="0" w:color="000000"/>
              <w:right w:val="single" w:sz="10" w:space="0" w:color="000000"/>
            </w:tcBorders>
          </w:tcPr>
          <w:p w14:paraId="4676D7E8"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0.9612</w:t>
            </w:r>
          </w:p>
        </w:tc>
        <w:tc>
          <w:tcPr>
            <w:tcW w:w="0" w:type="auto"/>
            <w:tcBorders>
              <w:top w:val="single" w:sz="10" w:space="0" w:color="000000"/>
              <w:left w:val="single" w:sz="10" w:space="0" w:color="000000"/>
              <w:bottom w:val="single" w:sz="10" w:space="0" w:color="000000"/>
              <w:right w:val="single" w:sz="10" w:space="0" w:color="000000"/>
            </w:tcBorders>
          </w:tcPr>
          <w:p w14:paraId="5845C9C1"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w:t>
            </w:r>
          </w:p>
        </w:tc>
        <w:tc>
          <w:tcPr>
            <w:tcW w:w="0" w:type="auto"/>
            <w:tcBorders>
              <w:top w:val="single" w:sz="10" w:space="0" w:color="000000"/>
              <w:left w:val="single" w:sz="10" w:space="0" w:color="000000"/>
              <w:bottom w:val="single" w:sz="10" w:space="0" w:color="000000"/>
              <w:right w:val="single" w:sz="10" w:space="0" w:color="000000"/>
            </w:tcBorders>
          </w:tcPr>
          <w:p w14:paraId="0859CF3A"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w:t>
            </w:r>
          </w:p>
        </w:tc>
        <w:tc>
          <w:tcPr>
            <w:tcW w:w="0" w:type="auto"/>
            <w:tcBorders>
              <w:top w:val="single" w:sz="10" w:space="0" w:color="000000"/>
              <w:left w:val="single" w:sz="10" w:space="0" w:color="000000"/>
              <w:bottom w:val="single" w:sz="10" w:space="0" w:color="000000"/>
              <w:right w:val="single" w:sz="10" w:space="0" w:color="000000"/>
            </w:tcBorders>
          </w:tcPr>
          <w:p w14:paraId="786F9CF0"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0.96</w:t>
            </w:r>
          </w:p>
        </w:tc>
      </w:tr>
      <w:tr w:rsidR="00F46880" w14:paraId="10B1CF8A" w14:textId="77777777" w:rsidTr="00F46880">
        <w:trPr>
          <w:trHeight w:val="428"/>
        </w:trPr>
        <w:tc>
          <w:tcPr>
            <w:tcW w:w="0" w:type="auto"/>
            <w:tcBorders>
              <w:top w:val="single" w:sz="10" w:space="0" w:color="000000"/>
              <w:left w:val="single" w:sz="10" w:space="0" w:color="000000"/>
              <w:bottom w:val="single" w:sz="10" w:space="0" w:color="000000"/>
              <w:right w:val="single" w:sz="10" w:space="0" w:color="000000"/>
            </w:tcBorders>
          </w:tcPr>
          <w:p w14:paraId="1996AE13"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Federated FDNN + CatBoost</w:t>
            </w:r>
          </w:p>
        </w:tc>
        <w:tc>
          <w:tcPr>
            <w:tcW w:w="0" w:type="auto"/>
            <w:tcBorders>
              <w:top w:val="single" w:sz="10" w:space="0" w:color="000000"/>
              <w:left w:val="single" w:sz="10" w:space="0" w:color="000000"/>
              <w:bottom w:val="single" w:sz="10" w:space="0" w:color="000000"/>
              <w:right w:val="single" w:sz="10" w:space="0" w:color="000000"/>
            </w:tcBorders>
          </w:tcPr>
          <w:p w14:paraId="44A0DFC0"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0.9487</w:t>
            </w:r>
          </w:p>
        </w:tc>
        <w:tc>
          <w:tcPr>
            <w:tcW w:w="0" w:type="auto"/>
            <w:tcBorders>
              <w:top w:val="single" w:sz="10" w:space="0" w:color="000000"/>
              <w:left w:val="single" w:sz="10" w:space="0" w:color="000000"/>
              <w:bottom w:val="single" w:sz="10" w:space="0" w:color="000000"/>
              <w:right w:val="single" w:sz="10" w:space="0" w:color="000000"/>
            </w:tcBorders>
          </w:tcPr>
          <w:p w14:paraId="6AB4A236"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0.95</w:t>
            </w:r>
          </w:p>
        </w:tc>
        <w:tc>
          <w:tcPr>
            <w:tcW w:w="0" w:type="auto"/>
            <w:tcBorders>
              <w:top w:val="single" w:sz="10" w:space="0" w:color="000000"/>
              <w:left w:val="single" w:sz="10" w:space="0" w:color="000000"/>
              <w:bottom w:val="single" w:sz="10" w:space="0" w:color="000000"/>
              <w:right w:val="single" w:sz="10" w:space="0" w:color="000000"/>
            </w:tcBorders>
          </w:tcPr>
          <w:p w14:paraId="2EBFED2D"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0.95</w:t>
            </w:r>
          </w:p>
        </w:tc>
        <w:tc>
          <w:tcPr>
            <w:tcW w:w="0" w:type="auto"/>
            <w:tcBorders>
              <w:top w:val="single" w:sz="10" w:space="0" w:color="000000"/>
              <w:left w:val="single" w:sz="10" w:space="0" w:color="000000"/>
              <w:bottom w:val="single" w:sz="10" w:space="0" w:color="000000"/>
              <w:right w:val="single" w:sz="10" w:space="0" w:color="000000"/>
            </w:tcBorders>
          </w:tcPr>
          <w:p w14:paraId="13FA9EFB" w14:textId="77777777" w:rsidR="00F46880" w:rsidRDefault="00000000">
            <w:pPr>
              <w:pStyle w:val="Compact"/>
              <w:rPr>
                <w:rFonts w:ascii="Times New Roman" w:hAnsi="Times New Roman" w:cs="Times New Roman"/>
                <w:sz w:val="16"/>
                <w:szCs w:val="16"/>
                <w:lang w:eastAsia="en-IN" w:bidi="te-IN"/>
              </w:rPr>
            </w:pPr>
            <w:r>
              <w:rPr>
                <w:rFonts w:ascii="Times New Roman" w:hAnsi="Times New Roman" w:cs="Times New Roman"/>
                <w:sz w:val="16"/>
                <w:szCs w:val="16"/>
                <w:lang w:eastAsia="en-IN" w:bidi="te-IN"/>
              </w:rPr>
              <w:t>0.95</w:t>
            </w:r>
          </w:p>
        </w:tc>
      </w:tr>
      <w:bookmarkEnd w:id="0"/>
    </w:tbl>
    <w:p w14:paraId="10739822" w14:textId="77777777" w:rsidR="00F46880" w:rsidRDefault="00F46880">
      <w:pPr>
        <w:pStyle w:val="BodyText"/>
        <w:rPr>
          <w:sz w:val="18"/>
        </w:rPr>
      </w:pPr>
    </w:p>
    <w:p w14:paraId="3DA01044" w14:textId="77777777" w:rsidR="00F46880" w:rsidRDefault="00000000">
      <w:pPr>
        <w:pStyle w:val="BodyText"/>
        <w:rPr>
          <w:sz w:val="18"/>
        </w:rPr>
      </w:pPr>
      <w:r>
        <w:rPr>
          <w:sz w:val="18"/>
        </w:rPr>
        <w:t>Table: Results of local, federated, and hybrid model performance</w:t>
      </w:r>
    </w:p>
    <w:p w14:paraId="409CD838" w14:textId="77777777" w:rsidR="00F46880" w:rsidRDefault="00F46880">
      <w:pPr>
        <w:pStyle w:val="BodyText"/>
        <w:rPr>
          <w:sz w:val="18"/>
        </w:rPr>
      </w:pPr>
    </w:p>
    <w:p w14:paraId="5C1FBC2D" w14:textId="77777777" w:rsidR="00F46880" w:rsidRDefault="00F46880">
      <w:pPr>
        <w:pStyle w:val="BodyText"/>
        <w:rPr>
          <w:sz w:val="18"/>
        </w:rPr>
      </w:pPr>
    </w:p>
    <w:p w14:paraId="4882F066" w14:textId="77777777" w:rsidR="00F46880" w:rsidRDefault="00000000">
      <w:pPr>
        <w:pStyle w:val="ListParagraph"/>
        <w:numPr>
          <w:ilvl w:val="0"/>
          <w:numId w:val="1"/>
        </w:numPr>
        <w:tabs>
          <w:tab w:val="left" w:pos="681"/>
        </w:tabs>
        <w:jc w:val="both"/>
        <w:rPr>
          <w:smallCaps/>
          <w:spacing w:val="-2"/>
          <w:sz w:val="20"/>
        </w:rPr>
      </w:pPr>
      <w:r>
        <w:rPr>
          <w:smallCaps/>
          <w:spacing w:val="-2"/>
          <w:sz w:val="20"/>
        </w:rPr>
        <w:t>Conclusion</w:t>
      </w:r>
    </w:p>
    <w:p w14:paraId="624D6207" w14:textId="77777777" w:rsidR="00F46880" w:rsidRDefault="00F46880">
      <w:pPr>
        <w:pStyle w:val="BodyText"/>
        <w:rPr>
          <w:sz w:val="18"/>
        </w:rPr>
      </w:pPr>
    </w:p>
    <w:p w14:paraId="4DB692BD" w14:textId="77777777" w:rsidR="00F46880" w:rsidRDefault="00000000">
      <w:pPr>
        <w:pStyle w:val="BodyText"/>
        <w:ind w:left="-284"/>
        <w:jc w:val="both"/>
      </w:pPr>
      <w:r>
        <w:t>This framework for predicting zoonotic disease outbreaks was a privacy-preserving and a high-performance one built around federated deep learning and gradient-boosted tree models. Deep neural networks of different independent types were trained on the datasets from farms, hospitals, and wildlife, making sure that the sensitive data was kept in a decentralized manner. The mechanism of federated averaging was successful in the aggregation of the local model knowledge into a global representation, which allowed for robust learning over the heterogeneous data sources. The experiments carried out showed that the combination of federated FDNN with XGBoost performed very well in terms of prediction, as it did not only keep high accuracy but also the precision-recall scores were balanced across all levels of outbreak risk. The results of this study vouch for the fact that the application of federated learning in distributed data confidentially is an effective way to handle epidemiological data.</w:t>
      </w:r>
    </w:p>
    <w:p w14:paraId="70284196" w14:textId="77777777" w:rsidR="00F46880" w:rsidRDefault="00F46880">
      <w:pPr>
        <w:pStyle w:val="BodyText"/>
        <w:jc w:val="both"/>
      </w:pPr>
    </w:p>
    <w:p w14:paraId="53690B08" w14:textId="77777777" w:rsidR="00F46880" w:rsidRDefault="00000000">
      <w:pPr>
        <w:pStyle w:val="BodyText"/>
        <w:ind w:left="-284"/>
        <w:jc w:val="both"/>
      </w:pPr>
      <w:r>
        <w:t>Moreover, the hybrid modeling strategy did a great job in taking advantage of the feature extraction power of deep neural networks and the decision boundary optimization power of tree-based ensembles. The explainability provided by SHAP analysis was a big plus to the model in terms of transparency, as it was able to point out the main latent features that were responsible for outbreak risk predictions. Thus, this study demonstrates the application of federated hybrid models in the case of public health surveillance systems, especially in areas where data sharing is not allowed. The researchers may integrate the proposed framework with the temporal dynamics, geospatial features, and adaptive federated optimization strategies in their future studies, which would lead to the increase of the early warning capabilities and scalability even more.</w:t>
      </w:r>
    </w:p>
    <w:p w14:paraId="7FD90F57" w14:textId="77777777" w:rsidR="00F46880" w:rsidRDefault="00F46880">
      <w:pPr>
        <w:pStyle w:val="BodyText"/>
        <w:ind w:left="-284"/>
        <w:jc w:val="both"/>
      </w:pPr>
    </w:p>
    <w:p w14:paraId="452E69DA" w14:textId="77777777" w:rsidR="00F46880" w:rsidRDefault="00F46880">
      <w:pPr>
        <w:pStyle w:val="BodyText"/>
        <w:ind w:left="-284"/>
        <w:jc w:val="both"/>
      </w:pPr>
    </w:p>
    <w:p w14:paraId="209FA3BE" w14:textId="77777777" w:rsidR="00F46880" w:rsidRDefault="00F46880">
      <w:pPr>
        <w:pStyle w:val="BodyText"/>
        <w:jc w:val="both"/>
      </w:pPr>
    </w:p>
    <w:p w14:paraId="275977CE" w14:textId="77777777" w:rsidR="00F46880" w:rsidRDefault="00000000">
      <w:pPr>
        <w:pStyle w:val="BodyText"/>
        <w:ind w:right="-140"/>
        <w:jc w:val="both"/>
      </w:pPr>
      <w:r>
        <w:t>The research work introduced a framework that maintains privacy for zoonotic disease outbreak forecasting by the application of a combination of federated deep neural networks with gradient-boosted decision tree models. The proposed method makes it possible to have collaborative learning across the farm, hospital, and wildlife data sources without any sensitive or proprietary information being exposed; thus, it is very much able to tackle the major data-sharing problems. The results of the experiments reveal that the hybrid Federated FDNN–GBDT model’s predictive accuracy is very high and there is a good class-wise performance, which is, in fact, indicating its capability in identifying intricate nonlinear patterns in different datasets. Fast federated averaging application leads to strong global model convergence, whereas the addition of explainable tree-based models improves the interpretability for public health decision-making. The framework is, thus, a highly scalable, secure, and reliable early outbreak risk assessment solution that is able to support interventions based on informed decisions in the real-world epidemiological surveillance systems.</w:t>
      </w:r>
    </w:p>
    <w:p w14:paraId="2E55F420" w14:textId="77777777" w:rsidR="00F46880" w:rsidRDefault="00F46880">
      <w:pPr>
        <w:pStyle w:val="BodyText"/>
        <w:jc w:val="both"/>
      </w:pPr>
    </w:p>
    <w:p w14:paraId="328344BF" w14:textId="77777777" w:rsidR="00F46880" w:rsidRDefault="00000000">
      <w:pPr>
        <w:pStyle w:val="ListParagraph"/>
        <w:numPr>
          <w:ilvl w:val="0"/>
          <w:numId w:val="1"/>
        </w:numPr>
        <w:tabs>
          <w:tab w:val="left" w:pos="681"/>
        </w:tabs>
        <w:jc w:val="both"/>
        <w:rPr>
          <w:smallCaps/>
          <w:spacing w:val="-2"/>
          <w:sz w:val="20"/>
        </w:rPr>
      </w:pPr>
      <w:r>
        <w:rPr>
          <w:smallCaps/>
          <w:spacing w:val="-2"/>
          <w:sz w:val="20"/>
        </w:rPr>
        <w:t>References</w:t>
      </w:r>
    </w:p>
    <w:p w14:paraId="70F1140C" w14:textId="77777777" w:rsidR="00F46880" w:rsidRDefault="00F46880">
      <w:pPr>
        <w:tabs>
          <w:tab w:val="left" w:pos="681"/>
        </w:tabs>
        <w:rPr>
          <w:smallCaps/>
          <w:spacing w:val="-2"/>
          <w:sz w:val="20"/>
        </w:rPr>
      </w:pPr>
    </w:p>
    <w:p w14:paraId="6B9B0731" w14:textId="77777777" w:rsidR="00F46880" w:rsidRDefault="00F46880">
      <w:pPr>
        <w:tabs>
          <w:tab w:val="left" w:pos="681"/>
        </w:tabs>
        <w:rPr>
          <w:smallCaps/>
          <w:spacing w:val="-2"/>
          <w:sz w:val="20"/>
        </w:rPr>
      </w:pPr>
    </w:p>
    <w:sdt>
      <w:sdtPr>
        <w:rPr>
          <w:color w:val="000000"/>
          <w:sz w:val="16"/>
          <w:szCs w:val="16"/>
        </w:rPr>
        <w:tag w:val="MENDELEY_BIBLIOGRAPHY"/>
        <w:id w:val="-1533178532"/>
        <w:placeholder>
          <w:docPart w:val="23282DCE31814E4A99502C589B5B827C"/>
        </w:placeholder>
      </w:sdtPr>
      <w:sdtEndPr>
        <w:rPr>
          <w:smallCaps/>
          <w:color w:val="auto"/>
          <w:spacing w:val="-2"/>
          <w:sz w:val="20"/>
          <w:szCs w:val="22"/>
        </w:rPr>
      </w:sdtEndPr>
      <w:sdtContent>
        <w:p w14:paraId="356FE64D" w14:textId="77777777" w:rsidR="00F46880" w:rsidRDefault="00000000">
          <w:pPr>
            <w:spacing w:line="360" w:lineRule="auto"/>
            <w:ind w:left="640" w:hanging="640"/>
            <w:jc w:val="both"/>
            <w:rPr>
              <w:color w:val="000000"/>
              <w:sz w:val="18"/>
              <w:szCs w:val="18"/>
            </w:rPr>
          </w:pPr>
          <w:r>
            <w:rPr>
              <w:color w:val="000000"/>
              <w:sz w:val="18"/>
              <w:szCs w:val="18"/>
            </w:rPr>
            <w:t xml:space="preserve">[1] A. Kumar, R. Patel, and S. Mehta, “Predictive machine learning models for zoonotic disease outbreak forecasting,” </w:t>
          </w:r>
          <w:r>
            <w:rPr>
              <w:i/>
              <w:iCs/>
              <w:color w:val="000000"/>
              <w:sz w:val="18"/>
              <w:szCs w:val="18"/>
            </w:rPr>
            <w:t>Preprints</w:t>
          </w:r>
          <w:r>
            <w:rPr>
              <w:color w:val="000000"/>
              <w:sz w:val="18"/>
              <w:szCs w:val="18"/>
            </w:rPr>
            <w:t>, vol. 2025, no. 9, Art. no. 202509.0658, 2025.</w:t>
          </w:r>
        </w:p>
        <w:p w14:paraId="20E2E96C" w14:textId="77777777" w:rsidR="00F46880" w:rsidRDefault="00000000">
          <w:pPr>
            <w:spacing w:line="360" w:lineRule="auto"/>
            <w:ind w:left="640" w:hanging="640"/>
            <w:jc w:val="both"/>
            <w:rPr>
              <w:color w:val="000000"/>
              <w:sz w:val="18"/>
              <w:szCs w:val="18"/>
            </w:rPr>
          </w:pPr>
          <w:r>
            <w:rPr>
              <w:color w:val="000000"/>
              <w:sz w:val="18"/>
              <w:szCs w:val="18"/>
            </w:rPr>
            <w:t xml:space="preserve">[2] L. Fernandez, M. Rossi, and P. Kumar, “Federated learning with deep neural networks: A privacy-preserving approach for biomedical data,” </w:t>
          </w:r>
          <w:r>
            <w:rPr>
              <w:i/>
              <w:iCs/>
              <w:color w:val="000000"/>
              <w:sz w:val="18"/>
              <w:szCs w:val="18"/>
            </w:rPr>
            <w:t>Journal of Biomedical Informatics</w:t>
          </w:r>
          <w:r>
            <w:rPr>
              <w:color w:val="000000"/>
              <w:sz w:val="18"/>
              <w:szCs w:val="18"/>
            </w:rPr>
            <w:t>, vol. 152, pp. 1–12, 2024.</w:t>
          </w:r>
        </w:p>
        <w:p w14:paraId="3C2198B8" w14:textId="77777777" w:rsidR="00F46880" w:rsidRDefault="00000000">
          <w:pPr>
            <w:spacing w:line="360" w:lineRule="auto"/>
            <w:ind w:left="640" w:hanging="640"/>
            <w:jc w:val="both"/>
            <w:rPr>
              <w:color w:val="000000"/>
              <w:sz w:val="18"/>
              <w:szCs w:val="18"/>
            </w:rPr>
          </w:pPr>
          <w:r>
            <w:rPr>
              <w:color w:val="000000"/>
              <w:sz w:val="18"/>
              <w:szCs w:val="18"/>
            </w:rPr>
            <w:t xml:space="preserve">[3] S. Alqahtani, H. Zhou, and M. Khan, “Machine learning in handling disease outbreaks: A comprehensive review,” </w:t>
          </w:r>
          <w:r>
            <w:rPr>
              <w:i/>
              <w:iCs/>
              <w:color w:val="000000"/>
              <w:sz w:val="18"/>
              <w:szCs w:val="18"/>
            </w:rPr>
            <w:t>IEEE Access</w:t>
          </w:r>
          <w:r>
            <w:rPr>
              <w:color w:val="000000"/>
              <w:sz w:val="18"/>
              <w:szCs w:val="18"/>
            </w:rPr>
            <w:t>, vol. 10, pp. 118245–118268, 2022.</w:t>
          </w:r>
        </w:p>
        <w:p w14:paraId="6FECA56E" w14:textId="77777777" w:rsidR="00F46880" w:rsidRDefault="00000000">
          <w:pPr>
            <w:spacing w:line="360" w:lineRule="auto"/>
            <w:ind w:left="640" w:hanging="640"/>
            <w:jc w:val="both"/>
            <w:rPr>
              <w:color w:val="000000"/>
              <w:sz w:val="18"/>
              <w:szCs w:val="18"/>
            </w:rPr>
          </w:pPr>
          <w:r>
            <w:rPr>
              <w:color w:val="000000"/>
              <w:sz w:val="18"/>
              <w:szCs w:val="18"/>
            </w:rPr>
            <w:t xml:space="preserve">[4] Y. Li, J. Wang, and T. Nguyen, “Revolutionizing healthcare data analytics with federated learning: A survey,” </w:t>
          </w:r>
          <w:r>
            <w:rPr>
              <w:i/>
              <w:iCs/>
              <w:color w:val="000000"/>
              <w:sz w:val="18"/>
              <w:szCs w:val="18"/>
            </w:rPr>
            <w:t>Digital Health</w:t>
          </w:r>
          <w:r>
            <w:rPr>
              <w:color w:val="000000"/>
              <w:sz w:val="18"/>
              <w:szCs w:val="18"/>
            </w:rPr>
            <w:t>, vol. 11, no. 2, pp. 101–118, 2025.</w:t>
          </w:r>
        </w:p>
        <w:p w14:paraId="64935DF3" w14:textId="77777777" w:rsidR="00F46880" w:rsidRDefault="00000000">
          <w:pPr>
            <w:spacing w:line="360" w:lineRule="auto"/>
            <w:ind w:left="640" w:hanging="640"/>
            <w:jc w:val="both"/>
            <w:rPr>
              <w:color w:val="000000"/>
              <w:sz w:val="18"/>
              <w:szCs w:val="18"/>
            </w:rPr>
          </w:pPr>
          <w:r>
            <w:rPr>
              <w:color w:val="000000"/>
              <w:sz w:val="18"/>
              <w:szCs w:val="18"/>
            </w:rPr>
            <w:t xml:space="preserve">[5] R. Sharma, K. Verma, and A. Dutta, “Federated learning as a smart tool for research on infectious diseases,” </w:t>
          </w:r>
          <w:r>
            <w:rPr>
              <w:i/>
              <w:iCs/>
              <w:color w:val="000000"/>
              <w:sz w:val="18"/>
              <w:szCs w:val="18"/>
            </w:rPr>
            <w:t>Frontiers in Public Health</w:t>
          </w:r>
          <w:r>
            <w:rPr>
              <w:color w:val="000000"/>
              <w:sz w:val="18"/>
              <w:szCs w:val="18"/>
            </w:rPr>
            <w:t>, vol. 12, pp. 1–14, 2024.</w:t>
          </w:r>
        </w:p>
        <w:p w14:paraId="04883030" w14:textId="77777777" w:rsidR="00F46880" w:rsidRDefault="00000000">
          <w:pPr>
            <w:spacing w:line="360" w:lineRule="auto"/>
            <w:ind w:left="640" w:hanging="640"/>
            <w:jc w:val="both"/>
            <w:rPr>
              <w:color w:val="000000"/>
              <w:sz w:val="18"/>
              <w:szCs w:val="18"/>
            </w:rPr>
          </w:pPr>
          <w:r>
            <w:rPr>
              <w:color w:val="000000"/>
              <w:sz w:val="18"/>
              <w:szCs w:val="18"/>
            </w:rPr>
            <w:t xml:space="preserve">[6] J. Miller and D. Thompson, “Federated learning and differential privacy: Machine learning with privacy guarantees,” </w:t>
          </w:r>
          <w:r>
            <w:rPr>
              <w:i/>
              <w:iCs/>
              <w:color w:val="000000"/>
              <w:sz w:val="18"/>
              <w:szCs w:val="18"/>
            </w:rPr>
            <w:t>Big Data &amp; Society</w:t>
          </w:r>
          <w:r>
            <w:rPr>
              <w:color w:val="000000"/>
              <w:sz w:val="18"/>
              <w:szCs w:val="18"/>
            </w:rPr>
            <w:t>, vol. 12, no. 1, pp. 1–15, 2025.</w:t>
          </w:r>
        </w:p>
        <w:p w14:paraId="77AD4D0B" w14:textId="77777777" w:rsidR="00F46880" w:rsidRDefault="00000000">
          <w:pPr>
            <w:spacing w:line="360" w:lineRule="auto"/>
            <w:ind w:left="640" w:hanging="640"/>
            <w:jc w:val="both"/>
            <w:rPr>
              <w:color w:val="000000"/>
              <w:sz w:val="18"/>
              <w:szCs w:val="18"/>
            </w:rPr>
          </w:pPr>
          <w:r>
            <w:rPr>
              <w:color w:val="000000"/>
              <w:sz w:val="18"/>
              <w:szCs w:val="18"/>
            </w:rPr>
            <w:t xml:space="preserve">[7] S. Rieke, J. Hancox, W. Li, F. Milletari, and H. Roth, “Privacy-first health research with federated learning,” </w:t>
          </w:r>
          <w:r>
            <w:rPr>
              <w:i/>
              <w:iCs/>
              <w:color w:val="000000"/>
              <w:sz w:val="18"/>
              <w:szCs w:val="18"/>
            </w:rPr>
            <w:t>npj Digital Medicine</w:t>
          </w:r>
          <w:r>
            <w:rPr>
              <w:color w:val="000000"/>
              <w:sz w:val="18"/>
              <w:szCs w:val="18"/>
            </w:rPr>
            <w:t>, vol. 4, no. 132, pp. 1–8, 2021.</w:t>
          </w:r>
        </w:p>
        <w:p w14:paraId="4E719442" w14:textId="77777777" w:rsidR="00F46880" w:rsidRDefault="00000000">
          <w:pPr>
            <w:spacing w:line="360" w:lineRule="auto"/>
            <w:ind w:left="640" w:hanging="640"/>
            <w:jc w:val="both"/>
            <w:rPr>
              <w:color w:val="000000"/>
              <w:sz w:val="18"/>
              <w:szCs w:val="18"/>
            </w:rPr>
          </w:pPr>
          <w:r>
            <w:rPr>
              <w:color w:val="000000"/>
              <w:sz w:val="18"/>
              <w:szCs w:val="18"/>
            </w:rPr>
            <w:t xml:space="preserve">[8] M. Alzubaidi, A. Al-Amri, and F. Alqahtani, “Reviewing federated machine learning and its use in healthcare,” </w:t>
          </w:r>
          <w:r>
            <w:rPr>
              <w:i/>
              <w:iCs/>
              <w:color w:val="000000"/>
              <w:sz w:val="18"/>
              <w:szCs w:val="18"/>
            </w:rPr>
            <w:t>Sensors</w:t>
          </w:r>
          <w:r>
            <w:rPr>
              <w:color w:val="000000"/>
              <w:sz w:val="18"/>
              <w:szCs w:val="18"/>
            </w:rPr>
            <w:t>, vol. 23, no. 4, Art. no. 2112, 2023.</w:t>
          </w:r>
        </w:p>
        <w:p w14:paraId="76518C27" w14:textId="77777777" w:rsidR="00F46880" w:rsidRDefault="00000000">
          <w:pPr>
            <w:spacing w:line="360" w:lineRule="auto"/>
            <w:ind w:left="640" w:hanging="640"/>
            <w:jc w:val="both"/>
            <w:rPr>
              <w:color w:val="000000"/>
              <w:sz w:val="18"/>
              <w:szCs w:val="18"/>
            </w:rPr>
          </w:pPr>
          <w:r>
            <w:rPr>
              <w:color w:val="000000"/>
              <w:sz w:val="18"/>
              <w:szCs w:val="18"/>
            </w:rPr>
            <w:t xml:space="preserve">[9] K. Bonawitz, V. Ivanov, and M. Kreuter, “Federated learning for healthcare: A systematic review,” </w:t>
          </w:r>
          <w:r>
            <w:rPr>
              <w:i/>
              <w:iCs/>
              <w:color w:val="000000"/>
              <w:sz w:val="18"/>
              <w:szCs w:val="18"/>
            </w:rPr>
            <w:t>ACM Computing Surveys</w:t>
          </w:r>
          <w:r>
            <w:rPr>
              <w:color w:val="000000"/>
              <w:sz w:val="18"/>
              <w:szCs w:val="18"/>
            </w:rPr>
            <w:t>, vol. 55, no. 3, pp. 1–36, 2023.</w:t>
          </w:r>
        </w:p>
        <w:p w14:paraId="317AAEC0" w14:textId="77777777" w:rsidR="00F46880" w:rsidRDefault="00000000">
          <w:pPr>
            <w:spacing w:line="360" w:lineRule="auto"/>
            <w:ind w:left="640" w:hanging="640"/>
            <w:jc w:val="both"/>
            <w:rPr>
              <w:color w:val="000000"/>
              <w:sz w:val="18"/>
              <w:szCs w:val="18"/>
            </w:rPr>
          </w:pPr>
          <w:r>
            <w:rPr>
              <w:color w:val="000000"/>
              <w:sz w:val="18"/>
              <w:szCs w:val="18"/>
            </w:rPr>
            <w:t xml:space="preserve">[10] R. Singh and P. Chatterjee, </w:t>
          </w:r>
          <w:r>
            <w:rPr>
              <w:i/>
              <w:iCs/>
              <w:color w:val="000000"/>
              <w:sz w:val="18"/>
              <w:szCs w:val="18"/>
            </w:rPr>
            <w:t>Machine Learning Models for Prediction and Risk Mapping of Zoonotic Outbreaks</w:t>
          </w:r>
          <w:r>
            <w:rPr>
              <w:color w:val="000000"/>
              <w:sz w:val="18"/>
              <w:szCs w:val="18"/>
            </w:rPr>
            <w:t>. New Delhi, India: Southern Publishers, 2022.</w:t>
          </w:r>
        </w:p>
        <w:p w14:paraId="4A8EDBE2" w14:textId="77777777" w:rsidR="00F46880" w:rsidRDefault="00000000">
          <w:pPr>
            <w:ind w:hanging="640"/>
            <w:jc w:val="both"/>
            <w:rPr>
              <w:smallCaps/>
              <w:spacing w:val="-2"/>
              <w:sz w:val="20"/>
            </w:rPr>
          </w:pPr>
        </w:p>
      </w:sdtContent>
    </w:sdt>
    <w:p w14:paraId="659648A9" w14:textId="77777777" w:rsidR="00F46880" w:rsidRDefault="00F46880">
      <w:pPr>
        <w:pStyle w:val="BodyText"/>
        <w:jc w:val="both"/>
      </w:pPr>
    </w:p>
    <w:sectPr w:rsidR="00F46880">
      <w:type w:val="continuous"/>
      <w:pgSz w:w="11920" w:h="16850"/>
      <w:pgMar w:top="640" w:right="566" w:bottom="560" w:left="708" w:header="0" w:footer="365"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AB82" w14:textId="77777777" w:rsidR="006670D5" w:rsidRDefault="006670D5">
      <w:r>
        <w:separator/>
      </w:r>
    </w:p>
  </w:endnote>
  <w:endnote w:type="continuationSeparator" w:id="0">
    <w:p w14:paraId="5D3D63D8" w14:textId="77777777" w:rsidR="006670D5" w:rsidRDefault="00667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1DE7" w14:textId="77777777" w:rsidR="00F46880" w:rsidRDefault="00F46880">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751B" w14:textId="77777777" w:rsidR="00F46880" w:rsidRDefault="00F46880">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8127D" w14:textId="77777777" w:rsidR="006670D5" w:rsidRDefault="006670D5">
      <w:r>
        <w:separator/>
      </w:r>
    </w:p>
  </w:footnote>
  <w:footnote w:type="continuationSeparator" w:id="0">
    <w:p w14:paraId="4298A2CC" w14:textId="77777777" w:rsidR="006670D5" w:rsidRDefault="006670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80A"/>
    <w:multiLevelType w:val="multilevel"/>
    <w:tmpl w:val="0282580A"/>
    <w:lvl w:ilvl="0">
      <w:start w:val="1"/>
      <w:numFmt w:val="upperRoman"/>
      <w:lvlText w:val="%1."/>
      <w:lvlJc w:val="left"/>
      <w:pPr>
        <w:ind w:left="2306" w:hanging="416"/>
        <w:jc w:val="right"/>
      </w:pPr>
      <w:rPr>
        <w:rFonts w:ascii="Times New Roman" w:eastAsia="Times New Roman" w:hAnsi="Times New Roman" w:cs="Times New Roman" w:hint="default"/>
        <w:b w:val="0"/>
        <w:bCs w:val="0"/>
        <w:i w:val="0"/>
        <w:iCs w:val="0"/>
        <w:spacing w:val="0"/>
        <w:w w:val="96"/>
        <w:sz w:val="20"/>
        <w:szCs w:val="20"/>
        <w:lang w:val="en-US" w:eastAsia="en-US" w:bidi="ar-SA"/>
      </w:rPr>
    </w:lvl>
    <w:lvl w:ilvl="1">
      <w:numFmt w:val="bullet"/>
      <w:lvlText w:val="•"/>
      <w:lvlJc w:val="left"/>
      <w:pPr>
        <w:ind w:left="2581" w:hanging="416"/>
      </w:pPr>
      <w:rPr>
        <w:rFonts w:hint="default"/>
        <w:lang w:val="en-US" w:eastAsia="en-US" w:bidi="ar-SA"/>
      </w:rPr>
    </w:lvl>
    <w:lvl w:ilvl="2">
      <w:numFmt w:val="bullet"/>
      <w:lvlText w:val="•"/>
      <w:lvlJc w:val="left"/>
      <w:pPr>
        <w:ind w:left="2863" w:hanging="416"/>
      </w:pPr>
      <w:rPr>
        <w:rFonts w:hint="default"/>
        <w:lang w:val="en-US" w:eastAsia="en-US" w:bidi="ar-SA"/>
      </w:rPr>
    </w:lvl>
    <w:lvl w:ilvl="3">
      <w:numFmt w:val="bullet"/>
      <w:lvlText w:val="•"/>
      <w:lvlJc w:val="left"/>
      <w:pPr>
        <w:ind w:left="3144" w:hanging="416"/>
      </w:pPr>
      <w:rPr>
        <w:rFonts w:hint="default"/>
        <w:lang w:val="en-US" w:eastAsia="en-US" w:bidi="ar-SA"/>
      </w:rPr>
    </w:lvl>
    <w:lvl w:ilvl="4">
      <w:numFmt w:val="bullet"/>
      <w:lvlText w:val="•"/>
      <w:lvlJc w:val="left"/>
      <w:pPr>
        <w:ind w:left="3426" w:hanging="416"/>
      </w:pPr>
      <w:rPr>
        <w:rFonts w:hint="default"/>
        <w:lang w:val="en-US" w:eastAsia="en-US" w:bidi="ar-SA"/>
      </w:rPr>
    </w:lvl>
    <w:lvl w:ilvl="5">
      <w:numFmt w:val="bullet"/>
      <w:lvlText w:val="•"/>
      <w:lvlJc w:val="left"/>
      <w:pPr>
        <w:ind w:left="3708" w:hanging="416"/>
      </w:pPr>
      <w:rPr>
        <w:rFonts w:hint="default"/>
        <w:lang w:val="en-US" w:eastAsia="en-US" w:bidi="ar-SA"/>
      </w:rPr>
    </w:lvl>
    <w:lvl w:ilvl="6">
      <w:numFmt w:val="bullet"/>
      <w:lvlText w:val="•"/>
      <w:lvlJc w:val="left"/>
      <w:pPr>
        <w:ind w:left="3989" w:hanging="416"/>
      </w:pPr>
      <w:rPr>
        <w:rFonts w:hint="default"/>
        <w:lang w:val="en-US" w:eastAsia="en-US" w:bidi="ar-SA"/>
      </w:rPr>
    </w:lvl>
    <w:lvl w:ilvl="7">
      <w:numFmt w:val="bullet"/>
      <w:lvlText w:val="•"/>
      <w:lvlJc w:val="left"/>
      <w:pPr>
        <w:ind w:left="4271" w:hanging="416"/>
      </w:pPr>
      <w:rPr>
        <w:rFonts w:hint="default"/>
        <w:lang w:val="en-US" w:eastAsia="en-US" w:bidi="ar-SA"/>
      </w:rPr>
    </w:lvl>
    <w:lvl w:ilvl="8">
      <w:numFmt w:val="bullet"/>
      <w:lvlText w:val="•"/>
      <w:lvlJc w:val="left"/>
      <w:pPr>
        <w:ind w:left="4553" w:hanging="416"/>
      </w:pPr>
      <w:rPr>
        <w:rFonts w:hint="default"/>
        <w:lang w:val="en-US" w:eastAsia="en-US" w:bidi="ar-SA"/>
      </w:rPr>
    </w:lvl>
  </w:abstractNum>
  <w:abstractNum w:abstractNumId="1" w15:restartNumberingAfterBreak="0">
    <w:nsid w:val="1E8A3EFA"/>
    <w:multiLevelType w:val="multilevel"/>
    <w:tmpl w:val="1E8A3EFA"/>
    <w:lvl w:ilvl="0">
      <w:start w:val="1"/>
      <w:numFmt w:val="decimal"/>
      <w:lvlText w:val="%1)"/>
      <w:lvlJc w:val="left"/>
      <w:pPr>
        <w:ind w:left="360" w:hanging="360"/>
      </w:pPr>
      <w:rPr>
        <w:rFonts w:hint="default"/>
      </w:rPr>
    </w:lvl>
    <w:lvl w:ilvl="1">
      <w:start w:val="1"/>
      <w:numFmt w:val="lowerLetter"/>
      <w:lvlText w:val="%2."/>
      <w:lvlJc w:val="left"/>
      <w:pPr>
        <w:ind w:left="1241" w:hanging="360"/>
      </w:pPr>
    </w:lvl>
    <w:lvl w:ilvl="2">
      <w:start w:val="1"/>
      <w:numFmt w:val="lowerRoman"/>
      <w:lvlText w:val="%3."/>
      <w:lvlJc w:val="right"/>
      <w:pPr>
        <w:ind w:left="1961" w:hanging="180"/>
      </w:pPr>
    </w:lvl>
    <w:lvl w:ilvl="3">
      <w:start w:val="1"/>
      <w:numFmt w:val="decimal"/>
      <w:lvlText w:val="%4."/>
      <w:lvlJc w:val="left"/>
      <w:pPr>
        <w:ind w:left="2681" w:hanging="360"/>
      </w:pPr>
    </w:lvl>
    <w:lvl w:ilvl="4">
      <w:start w:val="1"/>
      <w:numFmt w:val="lowerLetter"/>
      <w:lvlText w:val="%5."/>
      <w:lvlJc w:val="left"/>
      <w:pPr>
        <w:ind w:left="3401" w:hanging="360"/>
      </w:pPr>
    </w:lvl>
    <w:lvl w:ilvl="5">
      <w:start w:val="1"/>
      <w:numFmt w:val="lowerRoman"/>
      <w:lvlText w:val="%6."/>
      <w:lvlJc w:val="right"/>
      <w:pPr>
        <w:ind w:left="4121" w:hanging="180"/>
      </w:pPr>
    </w:lvl>
    <w:lvl w:ilvl="6">
      <w:start w:val="1"/>
      <w:numFmt w:val="decimal"/>
      <w:lvlText w:val="%7."/>
      <w:lvlJc w:val="left"/>
      <w:pPr>
        <w:ind w:left="4841" w:hanging="360"/>
      </w:pPr>
    </w:lvl>
    <w:lvl w:ilvl="7">
      <w:start w:val="1"/>
      <w:numFmt w:val="lowerLetter"/>
      <w:lvlText w:val="%8."/>
      <w:lvlJc w:val="left"/>
      <w:pPr>
        <w:ind w:left="5561" w:hanging="360"/>
      </w:pPr>
    </w:lvl>
    <w:lvl w:ilvl="8">
      <w:start w:val="1"/>
      <w:numFmt w:val="lowerRoman"/>
      <w:lvlText w:val="%9."/>
      <w:lvlJc w:val="right"/>
      <w:pPr>
        <w:ind w:left="6281" w:hanging="180"/>
      </w:pPr>
    </w:lvl>
  </w:abstractNum>
  <w:abstractNum w:abstractNumId="2" w15:restartNumberingAfterBreak="0">
    <w:nsid w:val="38FB40E3"/>
    <w:multiLevelType w:val="multilevel"/>
    <w:tmpl w:val="38FB40E3"/>
    <w:lvl w:ilvl="0">
      <w:start w:val="1"/>
      <w:numFmt w:val="decimal"/>
      <w:lvlText w:val="%1)"/>
      <w:lvlJc w:val="left"/>
      <w:pPr>
        <w:ind w:left="559" w:hanging="360"/>
      </w:pPr>
      <w:rPr>
        <w:rFonts w:hint="default"/>
      </w:rPr>
    </w:lvl>
    <w:lvl w:ilvl="1">
      <w:start w:val="1"/>
      <w:numFmt w:val="lowerLetter"/>
      <w:lvlText w:val="%2."/>
      <w:lvlJc w:val="left"/>
      <w:pPr>
        <w:ind w:left="1279" w:hanging="360"/>
      </w:pPr>
    </w:lvl>
    <w:lvl w:ilvl="2">
      <w:start w:val="1"/>
      <w:numFmt w:val="lowerRoman"/>
      <w:lvlText w:val="%3."/>
      <w:lvlJc w:val="right"/>
      <w:pPr>
        <w:ind w:left="1999" w:hanging="180"/>
      </w:pPr>
    </w:lvl>
    <w:lvl w:ilvl="3">
      <w:start w:val="1"/>
      <w:numFmt w:val="decimal"/>
      <w:lvlText w:val="%4."/>
      <w:lvlJc w:val="left"/>
      <w:pPr>
        <w:ind w:left="2719" w:hanging="360"/>
      </w:pPr>
    </w:lvl>
    <w:lvl w:ilvl="4">
      <w:start w:val="1"/>
      <w:numFmt w:val="lowerLetter"/>
      <w:lvlText w:val="%5."/>
      <w:lvlJc w:val="left"/>
      <w:pPr>
        <w:ind w:left="3439" w:hanging="360"/>
      </w:pPr>
    </w:lvl>
    <w:lvl w:ilvl="5">
      <w:start w:val="1"/>
      <w:numFmt w:val="lowerRoman"/>
      <w:lvlText w:val="%6."/>
      <w:lvlJc w:val="right"/>
      <w:pPr>
        <w:ind w:left="4159" w:hanging="180"/>
      </w:pPr>
    </w:lvl>
    <w:lvl w:ilvl="6">
      <w:start w:val="1"/>
      <w:numFmt w:val="decimal"/>
      <w:lvlText w:val="%7."/>
      <w:lvlJc w:val="left"/>
      <w:pPr>
        <w:ind w:left="4879" w:hanging="360"/>
      </w:pPr>
    </w:lvl>
    <w:lvl w:ilvl="7">
      <w:start w:val="1"/>
      <w:numFmt w:val="lowerLetter"/>
      <w:lvlText w:val="%8."/>
      <w:lvlJc w:val="left"/>
      <w:pPr>
        <w:ind w:left="5599" w:hanging="360"/>
      </w:pPr>
    </w:lvl>
    <w:lvl w:ilvl="8">
      <w:start w:val="1"/>
      <w:numFmt w:val="lowerRoman"/>
      <w:lvlText w:val="%9."/>
      <w:lvlJc w:val="right"/>
      <w:pPr>
        <w:ind w:left="6319" w:hanging="180"/>
      </w:pPr>
    </w:lvl>
  </w:abstractNum>
  <w:num w:numId="1" w16cid:durableId="1528180414">
    <w:abstractNumId w:val="0"/>
  </w:num>
  <w:num w:numId="2" w16cid:durableId="1616521110">
    <w:abstractNumId w:val="2"/>
  </w:num>
  <w:num w:numId="3" w16cid:durableId="433332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7087"/>
    <w:rsid w:val="000406EA"/>
    <w:rsid w:val="00067F8E"/>
    <w:rsid w:val="000C37D0"/>
    <w:rsid w:val="000D0CDD"/>
    <w:rsid w:val="001138A0"/>
    <w:rsid w:val="001202DF"/>
    <w:rsid w:val="001247EE"/>
    <w:rsid w:val="001909CE"/>
    <w:rsid w:val="001C2C85"/>
    <w:rsid w:val="001E7087"/>
    <w:rsid w:val="00244B00"/>
    <w:rsid w:val="003F399F"/>
    <w:rsid w:val="004330CA"/>
    <w:rsid w:val="004B0EEC"/>
    <w:rsid w:val="004C4D92"/>
    <w:rsid w:val="00533D32"/>
    <w:rsid w:val="005F7C44"/>
    <w:rsid w:val="0061074D"/>
    <w:rsid w:val="006670D5"/>
    <w:rsid w:val="0069573C"/>
    <w:rsid w:val="006E32F6"/>
    <w:rsid w:val="00706340"/>
    <w:rsid w:val="00751561"/>
    <w:rsid w:val="00805C4A"/>
    <w:rsid w:val="008740DD"/>
    <w:rsid w:val="008A3B39"/>
    <w:rsid w:val="0095737F"/>
    <w:rsid w:val="00993B6C"/>
    <w:rsid w:val="00AD3815"/>
    <w:rsid w:val="00AE45AD"/>
    <w:rsid w:val="00B033FE"/>
    <w:rsid w:val="00B1044D"/>
    <w:rsid w:val="00B76C0A"/>
    <w:rsid w:val="00B95D16"/>
    <w:rsid w:val="00BA558B"/>
    <w:rsid w:val="00BA7966"/>
    <w:rsid w:val="00C34730"/>
    <w:rsid w:val="00C6228F"/>
    <w:rsid w:val="00D6441E"/>
    <w:rsid w:val="00D923C7"/>
    <w:rsid w:val="00E118BC"/>
    <w:rsid w:val="00E41A8D"/>
    <w:rsid w:val="00E91CC4"/>
    <w:rsid w:val="00EF5D1C"/>
    <w:rsid w:val="00F46880"/>
    <w:rsid w:val="00F674BF"/>
    <w:rsid w:val="5ED83607"/>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852C"/>
  <w15:docId w15:val="{97067448-F8AF-4715-AB65-B95A0CC0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semiHidden/>
    <w:unhideWhenUsed/>
    <w:rPr>
      <w:sz w:val="24"/>
      <w:szCs w:val="24"/>
    </w:rPr>
  </w:style>
  <w:style w:type="paragraph" w:styleId="Title">
    <w:name w:val="Title"/>
    <w:basedOn w:val="Normal"/>
    <w:uiPriority w:val="10"/>
    <w:qFormat/>
    <w:pPr>
      <w:ind w:left="3814" w:hanging="3606"/>
    </w:pPr>
    <w:rPr>
      <w:sz w:val="48"/>
      <w:szCs w:val="48"/>
    </w:rPr>
  </w:style>
  <w:style w:type="paragraph" w:styleId="ListParagraph">
    <w:name w:val="List Paragraph"/>
    <w:basedOn w:val="Normal"/>
    <w:uiPriority w:val="1"/>
    <w:qFormat/>
    <w:pPr>
      <w:ind w:left="484" w:hanging="285"/>
      <w:jc w:val="both"/>
    </w:pPr>
  </w:style>
  <w:style w:type="paragraph" w:customStyle="1" w:styleId="TableParagraph">
    <w:name w:val="Table Paragraph"/>
    <w:basedOn w:val="Normal"/>
    <w:uiPriority w:val="1"/>
    <w:qFormat/>
    <w:pPr>
      <w:ind w:left="112"/>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customStyle="1" w:styleId="Compact">
    <w:name w:val="Compact"/>
    <w:basedOn w:val="BodyText"/>
    <w:qFormat/>
    <w:pPr>
      <w:widowControl/>
      <w:autoSpaceDE/>
      <w:autoSpaceDN/>
      <w:spacing w:before="36" w:after="36"/>
    </w:pPr>
    <w:rPr>
      <w:rFonts w:asciiTheme="minorHAnsi" w:eastAsiaTheme="minorHAnsi" w:hAnsiTheme="minorHAnsi" w:cstheme="minorBidi"/>
      <w:sz w:val="24"/>
      <w:szCs w:val="24"/>
      <w:lang w:val="en"/>
    </w:rPr>
  </w:style>
  <w:style w:type="table" w:customStyle="1" w:styleId="Table">
    <w:name w:val="Table"/>
    <w:semiHidden/>
    <w:unhideWhenUsed/>
    <w:qFormat/>
    <w:pPr>
      <w:spacing w:after="200"/>
    </w:pPr>
    <w:rPr>
      <w:sz w:val="24"/>
      <w:szCs w:val="24"/>
      <w:lang w:val="e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BodyTextChar">
    <w:name w:val="Body Text Char"/>
    <w:basedOn w:val="DefaultParagraphFont"/>
    <w:link w:val="BodyText"/>
    <w:uiPriority w:val="1"/>
    <w:rPr>
      <w:rFonts w:ascii="Times New Roman" w:eastAsia="Times New Roman" w:hAnsi="Times New Roman" w:cs="Times New Roman"/>
      <w:sz w:val="20"/>
      <w:szCs w:val="20"/>
    </w:rPr>
  </w:style>
  <w:style w:type="character" w:styleId="PlaceholderText">
    <w:name w:val="Placeholder Text"/>
    <w:basedOn w:val="DefaultParagraphFont"/>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chekkerasomasekhar2021@gmail.com"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atmakursomasekhar0@gmail.com"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lokesh280488@gmail.com"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mailto:rkreddy194@gmail.co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balu1203@gmail.com" TargetMode="External"/><Relationship Id="rId14" Type="http://schemas.openxmlformats.org/officeDocument/2006/relationships/hyperlink" Target="mailto:mohantejaroyal8@gmail.com"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282DCE31814E4A99502C589B5B827C"/>
        <w:category>
          <w:name w:val="General"/>
          <w:gallery w:val="placeholder"/>
        </w:category>
        <w:types>
          <w:type w:val="bbPlcHdr"/>
        </w:types>
        <w:behaviors>
          <w:behavior w:val="content"/>
        </w:behaviors>
        <w:guid w:val="{34EF742C-08AF-49E4-B0C7-B29527F381E7}"/>
      </w:docPartPr>
      <w:docPartBody>
        <w:p w:rsidR="006F2FF0" w:rsidRDefault="00000000">
          <w:pPr>
            <w:pStyle w:val="23282DCE31814E4A99502C589B5B827C"/>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21B0" w:rsidRDefault="00B021B0">
      <w:pPr>
        <w:spacing w:line="240" w:lineRule="auto"/>
      </w:pPr>
      <w:r>
        <w:separator/>
      </w:r>
    </w:p>
  </w:endnote>
  <w:endnote w:type="continuationSeparator" w:id="0">
    <w:p w:rsidR="00B021B0" w:rsidRDefault="00B021B0">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21B0" w:rsidRDefault="00B021B0">
      <w:pPr>
        <w:spacing w:after="0"/>
      </w:pPr>
      <w:r>
        <w:separator/>
      </w:r>
    </w:p>
  </w:footnote>
  <w:footnote w:type="continuationSeparator" w:id="0">
    <w:p w:rsidR="00B021B0" w:rsidRDefault="00B021B0">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0A7"/>
    <w:rsid w:val="000D03C5"/>
    <w:rsid w:val="001B3D77"/>
    <w:rsid w:val="001C2C85"/>
    <w:rsid w:val="006F2FF0"/>
    <w:rsid w:val="00B021B0"/>
    <w:rsid w:val="00B1044D"/>
    <w:rsid w:val="00C760A7"/>
    <w:rsid w:val="00D6441E"/>
    <w:rsid w:val="00E93B91"/>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te-IN"/>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23282DCE31814E4A99502C589B5B827C">
    <w:name w:val="23282DCE31814E4A99502C589B5B827C"/>
    <w:qFormat/>
    <w:pPr>
      <w:spacing w:after="160" w:line="278" w:lineRule="auto"/>
    </w:pPr>
    <w:rPr>
      <w:kern w:val="2"/>
      <w:sz w:val="24"/>
      <w:szCs w:val="24"/>
      <w:lang w:val="en-US" w:eastAsia="en-US" w:bidi="ar-S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AD8E8-CF6A-44AC-A457-6A0CA1569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4003</Words>
  <Characters>22819</Characters>
  <Application>Microsoft Office Word</Application>
  <DocSecurity>0</DocSecurity>
  <Lines>190</Lines>
  <Paragraphs>53</Paragraphs>
  <ScaleCrop>false</ScaleCrop>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Approach for Predicting Depression Using Deep Learning</dc:title>
  <dc:subject>2025 International Conference on Knowledge Engineering and Communication Systems (ICKECS);2025; ; ;10.1109/ICKECS65700.2025.11035901</dc:subject>
  <dc:creator>N. Bala Krishna</dc:creator>
  <cp:lastModifiedBy>Daya vallepu</cp:lastModifiedBy>
  <cp:revision>10</cp:revision>
  <dcterms:created xsi:type="dcterms:W3CDTF">2026-01-02T17:59:00Z</dcterms:created>
  <dcterms:modified xsi:type="dcterms:W3CDTF">2026-01-04T04:30:00Z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IEEE Article ID">
    <vt:lpwstr>11035901</vt:lpwstr>
  </property>
  <property fmtid="{D5CDD505-2E9C-101B-9397-08002B2CF9AE}" pid="4" name="IEEE Issue ID">
    <vt:lpwstr>11034776</vt:lpwstr>
  </property>
  <property fmtid="{D5CDD505-2E9C-101B-9397-08002B2CF9AE}" pid="5" name="IEEE Publication ID">
    <vt:lpwstr>11034706</vt:lpwstr>
  </property>
  <property fmtid="{D5CDD505-2E9C-101B-9397-08002B2CF9AE}" pid="6" name="LastSaved">
    <vt:filetime>2026-01-02T00:00:00Z</vt:filetime>
  </property>
  <property fmtid="{D5CDD505-2E9C-101B-9397-08002B2CF9AE}" pid="7" name="Meeting Ending Date">
    <vt:lpwstr>29 April 2025</vt:lpwstr>
  </property>
  <property fmtid="{D5CDD505-2E9C-101B-9397-08002B2CF9AE}" pid="8" name="Meeting Starting Date">
    <vt:lpwstr>28 April 2025</vt:lpwstr>
  </property>
  <property fmtid="{D5CDD505-2E9C-101B-9397-08002B2CF9AE}" pid="9" name="Producer">
    <vt:lpwstr>Foxit PDF Editor Printer Version 2024.1.0.15901; modified using iText® Core 7.2.4 (AGPL version) ©2000-2022 iText Group NV</vt:lpwstr>
  </property>
  <property fmtid="{D5CDD505-2E9C-101B-9397-08002B2CF9AE}" pid="10" name="KSOProductBuildVer">
    <vt:lpwstr>1033-12.2.0.23196</vt:lpwstr>
  </property>
  <property fmtid="{D5CDD505-2E9C-101B-9397-08002B2CF9AE}" pid="11" name="ICV">
    <vt:lpwstr>7748A39FD80244D69CA4CC641687E7AE_12</vt:lpwstr>
  </property>
</Properties>
</file>