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drawing>
          <wp:inline xmlns:a="http://schemas.openxmlformats.org/drawingml/2006/main" xmlns:pic="http://schemas.openxmlformats.org/drawingml/2006/picture">
            <wp:extent cx="1600200" cy="864476"/>
            <wp:docPr id="1" name="Picture 1"/>
            <wp:cNvGraphicFramePr>
              <a:graphicFrameLocks noChangeAspect="1"/>
            </wp:cNvGraphicFramePr>
            <a:graphic>
              <a:graphicData uri="http://schemas.openxmlformats.org/drawingml/2006/picture">
                <pic:pic>
                  <pic:nvPicPr>
                    <pic:cNvPr id="0" name="averion-logo-cropped.png"/>
                    <pic:cNvPicPr/>
                  </pic:nvPicPr>
                  <pic:blipFill>
                    <a:blip r:embed="rId9"/>
                    <a:stretch>
                      <a:fillRect/>
                    </a:stretch>
                  </pic:blipFill>
                  <pic:spPr>
                    <a:xfrm>
                      <a:off x="0" y="0"/>
                      <a:ext cx="1600200" cy="864476"/>
                    </a:xfrm>
                    <a:prstGeom prst="rect"/>
                  </pic:spPr>
                </pic:pic>
              </a:graphicData>
            </a:graphic>
          </wp:inline>
        </w:drawing>
      </w:r>
    </w:p>
    <w:p>
      <w:pPr>
        <w:spacing w:after="60"/>
      </w:pPr>
      <w:r>
        <w:rPr>
          <w:rFonts w:ascii="Aptos Display" w:hAnsi="Aptos Display"/>
          <w:b/>
          <w:i w:val="0"/>
          <w:color w:val="0B1F3A"/>
          <w:sz w:val="46"/>
        </w:rPr>
        <w:t>Capability Statement</w:t>
      </w:r>
    </w:p>
    <w:p>
      <w:pPr>
        <w:spacing w:after="200" w:line="259" w:lineRule="auto"/>
      </w:pPr>
      <w:r>
        <w:rPr>
          <w:rFonts w:ascii="Aptos" w:hAnsi="Aptos"/>
          <w:b w:val="0"/>
          <w:i w:val="0"/>
          <w:color w:val="50657D"/>
          <w:sz w:val="21"/>
        </w:rPr>
        <w:t>Connected software for property operations teams that need clearer work, faster decisions, and accountable execution.</w:t>
      </w:r>
    </w:p>
    <w:tbl>
      <w:tblPr>
        <w:tblW w:type="auto" w:w="0"/>
        <w:tblLayout w:type="fixed"/>
        <w:tblLook w:firstColumn="1" w:firstRow="1" w:lastColumn="0" w:lastRow="0" w:noHBand="0" w:noVBand="1" w:val="04A0"/>
      </w:tblPr>
      <w:tblGrid>
        <w:gridCol w:w="6984"/>
        <w:gridCol w:w="3672"/>
      </w:tblGrid>
      <w:tr>
        <w:tc>
          <w:tcPr>
            <w:tcW w:type="dxa" w:w="5328"/>
            <w:vAlign w:val="top"/>
          </w:tcPr>
          <w:p>
            <w:pPr>
              <w:spacing w:after="60"/>
            </w:pPr>
            <w:r>
              <w:rPr>
                <w:rFonts w:ascii="Aptos Display" w:hAnsi="Aptos Display"/>
                <w:b/>
                <w:i w:val="0"/>
                <w:color w:val="0B1F3A"/>
                <w:sz w:val="24"/>
              </w:rPr>
              <w:t>A practical operating layer for modern property teams</w:t>
            </w:r>
          </w:p>
          <w:p>
            <w:pPr>
              <w:spacing w:after="0" w:line="254" w:lineRule="auto"/>
            </w:pPr>
            <w:r>
              <w:rPr>
                <w:rFonts w:ascii="Aptos" w:hAnsi="Aptos"/>
                <w:b w:val="0"/>
                <w:i w:val="0"/>
                <w:color w:val="50657D"/>
                <w:sz w:val="18"/>
              </w:rPr>
              <w:t>Averion Software builds focused tools that connect operational signals to the people and actions that move work forward. Cove PM brings property operations, leasing, resident communication, maintenance, payments, reporting, and Autopilot insights into one understandable workspace.</w:t>
            </w:r>
          </w:p>
        </w:tc>
        <w:tc>
          <w:tcPr>
            <w:tcW w:type="dxa" w:w="5328"/>
            <w:vAlign w:val="top"/>
            <w:shd w:fill="0B1F3A"/>
            <w:tcBorders>
              <w:top w:val="single" w:sz="6" w:color="0B1F3A"/>
              <w:left w:val="single" w:sz="6" w:color="0B1F3A"/>
              <w:bottom w:val="single" w:sz="6" w:color="0B1F3A"/>
              <w:right w:val="single" w:sz="6" w:color="0B1F3A"/>
              <w:insideH w:val="single" w:sz="6" w:color="0B1F3A"/>
              <w:insideV w:val="single" w:sz="6" w:color="0B1F3A"/>
            </w:tcBorders>
            <w:tcMar>
              <w:top w:w="125" w:type="dxa"/>
              <w:start w:w="160" w:type="dxa"/>
              <w:bottom w:w="125" w:type="dxa"/>
              <w:end w:w="160" w:type="dxa"/>
            </w:tcMar>
          </w:tcPr>
          <w:p>
            <w:pPr>
              <w:spacing w:after="60"/>
            </w:pPr>
            <w:r>
              <w:rPr>
                <w:rFonts w:ascii="Aptos" w:hAnsi="Aptos"/>
                <w:b/>
                <w:i w:val="0"/>
                <w:color w:val="27C4D9"/>
                <w:sz w:val="16"/>
              </w:rPr>
              <w:t>PRIMARY OFFERING</w:t>
            </w:r>
          </w:p>
          <w:p>
            <w:pPr>
              <w:spacing w:after="40"/>
            </w:pPr>
            <w:r>
              <w:rPr>
                <w:rFonts w:ascii="Aptos Display" w:hAnsi="Aptos Display"/>
                <w:b/>
                <w:i w:val="0"/>
                <w:color w:val="FFFFFF"/>
                <w:sz w:val="34"/>
              </w:rPr>
              <w:t>Cove PM</w:t>
            </w:r>
          </w:p>
          <w:p>
            <w:pPr>
              <w:spacing w:after="0"/>
            </w:pPr>
            <w:r>
              <w:rPr>
                <w:rFonts w:ascii="Aptos" w:hAnsi="Aptos"/>
                <w:b w:val="0"/>
                <w:i w:val="0"/>
                <w:color w:val="DCEBFA"/>
                <w:sz w:val="17"/>
              </w:rPr>
              <w:t>Property operations and workflow software</w:t>
            </w:r>
          </w:p>
        </w:tc>
      </w:tr>
    </w:tbl>
    <w:p>
      <w:pPr>
        <w:spacing w:after="100"/>
      </w:pPr>
      <w:r>
        <w:rPr>
          <w:rFonts w:ascii="Aptos Display" w:hAnsi="Aptos Display"/>
          <w:b/>
          <w:i w:val="0"/>
          <w:color w:val="0B1F3A"/>
          <w:sz w:val="26"/>
        </w:rPr>
        <w:t>Core Capabilities</w:t>
      </w:r>
    </w:p>
    <w:tbl>
      <w:tblPr>
        <w:tblW w:type="auto" w:w="0"/>
        <w:tblLayout w:type="fixed"/>
        <w:tblLook w:firstColumn="1" w:firstRow="1" w:lastColumn="0" w:lastRow="0" w:noHBand="0" w:noVBand="1" w:val="04A0"/>
      </w:tblPr>
      <w:tblGrid>
        <w:gridCol w:w="3552"/>
        <w:gridCol w:w="3552"/>
        <w:gridCol w:w="3552"/>
      </w:tblGrid>
      <w:tr>
        <w:tc>
          <w:tcPr>
            <w:tcW w:type="dxa" w:w="3557"/>
            <w:vAlign w:val="top"/>
            <w:shd w:fill="F2F7FC"/>
            <w:tcBorders>
              <w:top w:val="single" w:sz="6" w:color="D9E5F0"/>
              <w:left w:val="single" w:sz="6" w:color="D9E5F0"/>
              <w:bottom w:val="single" w:sz="6" w:color="D9E5F0"/>
              <w:right w:val="single" w:sz="6" w:color="D9E5F0"/>
              <w:insideH w:val="single" w:sz="6" w:color="D9E5F0"/>
              <w:insideV w:val="single" w:sz="6" w:color="D9E5F0"/>
            </w:tcBorders>
            <w:tcMar>
              <w:top w:w="110" w:type="dxa"/>
              <w:start w:w="145" w:type="dxa"/>
              <w:bottom w:w="100" w:type="dxa"/>
              <w:end w:w="145" w:type="dxa"/>
            </w:tcMar>
          </w:tcPr>
          <w:p>
            <w:pPr>
              <w:spacing w:after="80"/>
            </w:pPr>
            <w:r/>
            <w:r>
              <w:rPr>
                <w:rFonts w:ascii="Aptos Display" w:hAnsi="Aptos Display"/>
                <w:b/>
                <w:i w:val="0"/>
                <w:color w:val="2E6BFF"/>
                <w:sz w:val="17"/>
              </w:rPr>
              <w:t>WORK ORCHESTRATION</w:t>
            </w:r>
          </w:p>
          <w:p>
            <w:pPr>
              <w:spacing w:after="0" w:line="254" w:lineRule="auto"/>
            </w:pPr>
            <w:r>
              <w:rPr>
                <w:rFonts w:ascii="Aptos" w:hAnsi="Aptos"/>
                <w:b w:val="0"/>
                <w:i w:val="0"/>
                <w:color w:val="0B1F3A"/>
                <w:sz w:val="18"/>
              </w:rPr>
              <w:t>Work orders, queues, priorities, assignments, vendor and employee coordination, and attention management.</w:t>
            </w:r>
          </w:p>
        </w:tc>
        <w:tc>
          <w:tcPr>
            <w:tcW w:type="dxa" w:w="3557"/>
            <w:vAlign w:val="top"/>
            <w:shd w:fill="F2F7FC"/>
            <w:tcBorders>
              <w:top w:val="single" w:sz="6" w:color="D9E5F0"/>
              <w:left w:val="single" w:sz="6" w:color="D9E5F0"/>
              <w:bottom w:val="single" w:sz="6" w:color="D9E5F0"/>
              <w:right w:val="single" w:sz="6" w:color="D9E5F0"/>
              <w:insideH w:val="single" w:sz="6" w:color="D9E5F0"/>
              <w:insideV w:val="single" w:sz="6" w:color="D9E5F0"/>
            </w:tcBorders>
            <w:tcMar>
              <w:top w:w="110" w:type="dxa"/>
              <w:start w:w="145" w:type="dxa"/>
              <w:bottom w:w="100" w:type="dxa"/>
              <w:end w:w="145" w:type="dxa"/>
            </w:tcMar>
          </w:tcPr>
          <w:p>
            <w:pPr>
              <w:spacing w:after="80"/>
            </w:pPr>
            <w:r/>
            <w:r>
              <w:rPr>
                <w:rFonts w:ascii="Aptos Display" w:hAnsi="Aptos Display"/>
                <w:b/>
                <w:i w:val="0"/>
                <w:color w:val="2E6BFF"/>
                <w:sz w:val="17"/>
              </w:rPr>
              <w:t>PROPERTY OPERATIONS</w:t>
            </w:r>
          </w:p>
          <w:p>
            <w:pPr>
              <w:spacing w:after="0" w:line="254" w:lineRule="auto"/>
            </w:pPr>
            <w:r>
              <w:rPr>
                <w:rFonts w:ascii="Aptos" w:hAnsi="Aptos"/>
                <w:b w:val="0"/>
                <w:i w:val="0"/>
                <w:color w:val="0B1F3A"/>
                <w:sz w:val="18"/>
              </w:rPr>
              <w:t>Properties, units, assets, residents, communications, maintenance workflows, and operational records.</w:t>
            </w:r>
          </w:p>
        </w:tc>
        <w:tc>
          <w:tcPr>
            <w:tcW w:type="dxa" w:w="3557"/>
            <w:vAlign w:val="top"/>
            <w:shd w:fill="F2F7FC"/>
            <w:tcBorders>
              <w:top w:val="single" w:sz="6" w:color="D9E5F0"/>
              <w:left w:val="single" w:sz="6" w:color="D9E5F0"/>
              <w:bottom w:val="single" w:sz="6" w:color="D9E5F0"/>
              <w:right w:val="single" w:sz="6" w:color="D9E5F0"/>
              <w:insideH w:val="single" w:sz="6" w:color="D9E5F0"/>
              <w:insideV w:val="single" w:sz="6" w:color="D9E5F0"/>
            </w:tcBorders>
            <w:tcMar>
              <w:top w:w="110" w:type="dxa"/>
              <w:start w:w="145" w:type="dxa"/>
              <w:bottom w:w="100" w:type="dxa"/>
              <w:end w:w="145" w:type="dxa"/>
            </w:tcMar>
          </w:tcPr>
          <w:p>
            <w:pPr>
              <w:spacing w:after="80"/>
            </w:pPr>
            <w:r/>
            <w:r>
              <w:rPr>
                <w:rFonts w:ascii="Aptos Display" w:hAnsi="Aptos Display"/>
                <w:b/>
                <w:i w:val="0"/>
                <w:color w:val="2E6BFF"/>
                <w:sz w:val="17"/>
              </w:rPr>
              <w:t>LEASING AND PAYMENTS</w:t>
            </w:r>
          </w:p>
          <w:p>
            <w:pPr>
              <w:spacing w:after="0" w:line="254" w:lineRule="auto"/>
            </w:pPr>
            <w:r>
              <w:rPr>
                <w:rFonts w:ascii="Aptos" w:hAnsi="Aptos"/>
                <w:b w:val="0"/>
                <w:i w:val="0"/>
                <w:color w:val="0B1F3A"/>
                <w:sz w:val="18"/>
              </w:rPr>
              <w:t>Lease terms, recurring charges, deposits, payments, notices, delinquency workflows, and basic accounting records.</w:t>
            </w:r>
          </w:p>
        </w:tc>
      </w:tr>
      <w:tr>
        <w:tc>
          <w:tcPr>
            <w:tcW w:type="dxa" w:w="3557"/>
            <w:vAlign w:val="top"/>
            <w:shd w:fill="F2F7FC"/>
            <w:tcBorders>
              <w:top w:val="single" w:sz="6" w:color="D9E5F0"/>
              <w:left w:val="single" w:sz="6" w:color="D9E5F0"/>
              <w:bottom w:val="single" w:sz="6" w:color="D9E5F0"/>
              <w:right w:val="single" w:sz="6" w:color="D9E5F0"/>
              <w:insideH w:val="single" w:sz="6" w:color="D9E5F0"/>
              <w:insideV w:val="single" w:sz="6" w:color="D9E5F0"/>
            </w:tcBorders>
            <w:tcMar>
              <w:top w:w="110" w:type="dxa"/>
              <w:start w:w="145" w:type="dxa"/>
              <w:bottom w:w="100" w:type="dxa"/>
              <w:end w:w="145" w:type="dxa"/>
            </w:tcMar>
          </w:tcPr>
          <w:p>
            <w:pPr>
              <w:spacing w:after="80"/>
            </w:pPr>
            <w:r/>
            <w:r>
              <w:rPr>
                <w:rFonts w:ascii="Aptos Display" w:hAnsi="Aptos Display"/>
                <w:b/>
                <w:i w:val="0"/>
                <w:color w:val="2E6BFF"/>
                <w:sz w:val="17"/>
              </w:rPr>
              <w:t>REPORTING AND CONTROL</w:t>
            </w:r>
          </w:p>
          <w:p>
            <w:pPr>
              <w:spacing w:after="0" w:line="254" w:lineRule="auto"/>
            </w:pPr>
            <w:r>
              <w:rPr>
                <w:rFonts w:ascii="Aptos" w:hAnsi="Aptos"/>
                <w:b w:val="0"/>
                <w:i w:val="0"/>
                <w:color w:val="0B1F3A"/>
                <w:sz w:val="18"/>
              </w:rPr>
              <w:t>Operational reporting, financial reporting, audit-friendly records, permissions, and evidence-backed decisions.</w:t>
            </w:r>
          </w:p>
        </w:tc>
        <w:tc>
          <w:tcPr>
            <w:tcW w:type="dxa" w:w="3557"/>
            <w:vAlign w:val="top"/>
            <w:shd w:fill="F2F7FC"/>
            <w:tcBorders>
              <w:top w:val="single" w:sz="6" w:color="D9E5F0"/>
              <w:left w:val="single" w:sz="6" w:color="D9E5F0"/>
              <w:bottom w:val="single" w:sz="6" w:color="D9E5F0"/>
              <w:right w:val="single" w:sz="6" w:color="D9E5F0"/>
              <w:insideH w:val="single" w:sz="6" w:color="D9E5F0"/>
              <w:insideV w:val="single" w:sz="6" w:color="D9E5F0"/>
            </w:tcBorders>
            <w:tcMar>
              <w:top w:w="110" w:type="dxa"/>
              <w:start w:w="145" w:type="dxa"/>
              <w:bottom w:w="100" w:type="dxa"/>
              <w:end w:w="145" w:type="dxa"/>
            </w:tcMar>
          </w:tcPr>
          <w:p>
            <w:pPr>
              <w:spacing w:after="80"/>
            </w:pPr>
            <w:r/>
            <w:r>
              <w:rPr>
                <w:rFonts w:ascii="Aptos Display" w:hAnsi="Aptos Display"/>
                <w:b/>
                <w:i w:val="0"/>
                <w:color w:val="2E6BFF"/>
                <w:sz w:val="17"/>
              </w:rPr>
              <w:t>AUTOPILOT INTELLIGENCE</w:t>
            </w:r>
          </w:p>
          <w:p>
            <w:pPr>
              <w:spacing w:after="0" w:line="254" w:lineRule="auto"/>
            </w:pPr>
            <w:r>
              <w:rPr>
                <w:rFonts w:ascii="Aptos" w:hAnsi="Aptos"/>
                <w:b w:val="0"/>
                <w:i w:val="0"/>
                <w:color w:val="0B1F3A"/>
                <w:sz w:val="18"/>
              </w:rPr>
              <w:t>Surfaces risk and stalled work, traces recommendations to source records, and keeps the user in control of action.</w:t>
            </w:r>
          </w:p>
        </w:tc>
        <w:tc>
          <w:tcPr>
            <w:tcW w:type="dxa" w:w="3557"/>
            <w:vAlign w:val="top"/>
            <w:shd w:fill="F2F7FC"/>
            <w:tcBorders>
              <w:top w:val="single" w:sz="6" w:color="D9E5F0"/>
              <w:left w:val="single" w:sz="6" w:color="D9E5F0"/>
              <w:bottom w:val="single" w:sz="6" w:color="D9E5F0"/>
              <w:right w:val="single" w:sz="6" w:color="D9E5F0"/>
              <w:insideH w:val="single" w:sz="6" w:color="D9E5F0"/>
              <w:insideV w:val="single" w:sz="6" w:color="D9E5F0"/>
            </w:tcBorders>
            <w:tcMar>
              <w:top w:w="110" w:type="dxa"/>
              <w:start w:w="145" w:type="dxa"/>
              <w:bottom w:w="100" w:type="dxa"/>
              <w:end w:w="145" w:type="dxa"/>
            </w:tcMar>
          </w:tcPr>
          <w:p>
            <w:pPr>
              <w:spacing w:after="80"/>
            </w:pPr>
            <w:r/>
            <w:r>
              <w:rPr>
                <w:rFonts w:ascii="Aptos Display" w:hAnsi="Aptos Display"/>
                <w:b/>
                <w:i w:val="0"/>
                <w:color w:val="2E6BFF"/>
                <w:sz w:val="17"/>
              </w:rPr>
              <w:t>MOBILE-READY WORKFLOWS</w:t>
            </w:r>
          </w:p>
          <w:p>
            <w:pPr>
              <w:spacing w:after="0" w:line="254" w:lineRule="auto"/>
            </w:pPr>
            <w:r>
              <w:rPr>
                <w:rFonts w:ascii="Aptos" w:hAnsi="Aptos"/>
                <w:b w:val="0"/>
                <w:i w:val="0"/>
                <w:color w:val="0B1F3A"/>
                <w:sz w:val="18"/>
              </w:rPr>
              <w:t>Field-oriented experiences for technicians and inspectors, designed to keep work moving beyond the office.</w:t>
            </w:r>
          </w:p>
        </w:tc>
      </w:tr>
    </w:tbl>
    <w:tbl>
      <w:tblPr>
        <w:tblW w:type="auto" w:w="0"/>
        <w:tblLayout w:type="fixed"/>
        <w:tblLook w:firstColumn="1" w:firstRow="1" w:lastColumn="0" w:lastRow="0" w:noHBand="0" w:noVBand="1" w:val="04A0"/>
      </w:tblPr>
      <w:tblGrid>
        <w:gridCol w:w="6120"/>
        <w:gridCol w:w="4536"/>
      </w:tblGrid>
      <w:tr>
        <w:tc>
          <w:tcPr>
            <w:tcW w:type="dxa" w:w="5328"/>
            <w:vAlign w:val="top"/>
          </w:tcPr>
          <w:p>
            <w:pPr>
              <w:spacing w:after="80"/>
            </w:pPr>
            <w:r>
              <w:rPr>
                <w:rFonts w:ascii="Aptos Display" w:hAnsi="Aptos Display"/>
                <w:b/>
                <w:i w:val="0"/>
                <w:color w:val="0B1F3A"/>
                <w:sz w:val="26"/>
              </w:rPr>
              <w:t>Why Averion</w:t>
            </w:r>
          </w:p>
          <w:p>
            <w:pPr>
              <w:pStyle w:val="ListBullet"/>
              <w:spacing w:after="40" w:line="245" w:lineRule="auto"/>
              <w:ind w:left="173" w:hanging="173"/>
            </w:pPr>
            <w:r>
              <w:rPr>
                <w:rFonts w:ascii="Aptos" w:hAnsi="Aptos"/>
                <w:b w:val="0"/>
                <w:i w:val="0"/>
                <w:color w:val="0B1F3A"/>
                <w:sz w:val="17"/>
              </w:rPr>
              <w:t>Useful first: focused workflows that fit the way teams already work.</w:t>
            </w:r>
          </w:p>
          <w:p>
            <w:pPr>
              <w:pStyle w:val="ListBullet"/>
              <w:spacing w:after="40" w:line="245" w:lineRule="auto"/>
              <w:ind w:left="173" w:hanging="173"/>
            </w:pPr>
            <w:r>
              <w:rPr>
                <w:rFonts w:ascii="Aptos" w:hAnsi="Aptos"/>
                <w:b w:val="0"/>
                <w:i w:val="0"/>
                <w:color w:val="0B1F3A"/>
                <w:sz w:val="17"/>
              </w:rPr>
              <w:t>Explainable by design: recommendations remain connected to evidence and source records.</w:t>
            </w:r>
          </w:p>
          <w:p>
            <w:pPr>
              <w:pStyle w:val="ListBullet"/>
              <w:spacing w:after="40" w:line="245" w:lineRule="auto"/>
              <w:ind w:left="173" w:hanging="173"/>
            </w:pPr>
            <w:r>
              <w:rPr>
                <w:rFonts w:ascii="Aptos" w:hAnsi="Aptos"/>
                <w:b w:val="0"/>
                <w:i w:val="0"/>
                <w:color w:val="0B1F3A"/>
                <w:sz w:val="17"/>
              </w:rPr>
              <w:t>Built to evolve: a connected foundation that can grow with each organization.</w:t>
            </w:r>
          </w:p>
          <w:p>
            <w:pPr>
              <w:pStyle w:val="ListBullet"/>
              <w:spacing w:after="40" w:line="245" w:lineRule="auto"/>
              <w:ind w:left="173" w:hanging="173"/>
            </w:pPr>
            <w:r>
              <w:rPr>
                <w:rFonts w:ascii="Aptos" w:hAnsi="Aptos"/>
                <w:b w:val="0"/>
                <w:i w:val="0"/>
                <w:color w:val="0B1F3A"/>
                <w:sz w:val="17"/>
              </w:rPr>
              <w:t>Pilot-friendly: start with one operational problem and expand when value is proven.</w:t>
            </w:r>
          </w:p>
        </w:tc>
        <w:tc>
          <w:tcPr>
            <w:tcW w:type="dxa" w:w="5328"/>
            <w:vAlign w:val="top"/>
          </w:tcPr>
          <w:p>
            <w:pPr>
              <w:spacing w:after="80"/>
            </w:pPr>
            <w:r>
              <w:rPr>
                <w:rFonts w:ascii="Aptos Display" w:hAnsi="Aptos Display"/>
                <w:b/>
                <w:i w:val="0"/>
                <w:color w:val="0B1F3A"/>
                <w:sz w:val="26"/>
              </w:rPr>
              <w:t>Best-fit entry points</w:t>
            </w:r>
          </w:p>
          <w:p>
            <w:pPr>
              <w:pStyle w:val="ListBullet"/>
              <w:spacing w:after="40" w:line="245" w:lineRule="auto"/>
              <w:ind w:left="173" w:hanging="173"/>
            </w:pPr>
            <w:r>
              <w:rPr>
                <w:rFonts w:ascii="Aptos" w:hAnsi="Aptos"/>
                <w:b w:val="0"/>
                <w:i w:val="0"/>
                <w:color w:val="0B1F3A"/>
                <w:sz w:val="17"/>
              </w:rPr>
              <w:t>Housing authorities and affordable housing operators</w:t>
            </w:r>
          </w:p>
          <w:p>
            <w:pPr>
              <w:pStyle w:val="ListBullet"/>
              <w:spacing w:after="40" w:line="245" w:lineRule="auto"/>
              <w:ind w:left="173" w:hanging="173"/>
            </w:pPr>
            <w:r>
              <w:rPr>
                <w:rFonts w:ascii="Aptos" w:hAnsi="Aptos"/>
                <w:b w:val="0"/>
                <w:i w:val="0"/>
                <w:color w:val="0B1F3A"/>
                <w:sz w:val="17"/>
              </w:rPr>
              <w:t>Property management and facilities teams</w:t>
            </w:r>
          </w:p>
          <w:p>
            <w:pPr>
              <w:pStyle w:val="ListBullet"/>
              <w:spacing w:after="40" w:line="245" w:lineRule="auto"/>
              <w:ind w:left="173" w:hanging="173"/>
            </w:pPr>
            <w:r>
              <w:rPr>
                <w:rFonts w:ascii="Aptos" w:hAnsi="Aptos"/>
                <w:b w:val="0"/>
                <w:i w:val="0"/>
                <w:color w:val="0B1F3A"/>
                <w:sz w:val="17"/>
              </w:rPr>
              <w:t>Inspection routing and field-service operations</w:t>
            </w:r>
          </w:p>
          <w:p>
            <w:pPr>
              <w:pStyle w:val="ListBullet"/>
              <w:spacing w:after="40" w:line="245" w:lineRule="auto"/>
              <w:ind w:left="173" w:hanging="173"/>
            </w:pPr>
            <w:r>
              <w:rPr>
                <w:rFonts w:ascii="Aptos" w:hAnsi="Aptos"/>
                <w:b w:val="0"/>
                <w:i w:val="0"/>
                <w:color w:val="0B1F3A"/>
                <w:sz w:val="17"/>
              </w:rPr>
              <w:t>Teams replacing spreadsheets and disconnected queues</w:t>
            </w:r>
          </w:p>
        </w:tc>
      </w:tr>
    </w:tbl>
    <w:tbl>
      <w:tblPr>
        <w:tblW w:type="auto" w:w="0"/>
        <w:tblLayout w:type="fixed"/>
        <w:tblLook w:firstColumn="1" w:firstRow="1" w:lastColumn="0" w:lastRow="0" w:noHBand="0" w:noVBand="1" w:val="04A0"/>
      </w:tblPr>
      <w:tblGrid>
        <w:gridCol w:w="3552"/>
        <w:gridCol w:w="3552"/>
        <w:gridCol w:w="3552"/>
      </w:tblGrid>
      <w:tr>
        <w:tc>
          <w:tcPr>
            <w:tcW w:type="dxa" w:w="3552"/>
            <w:shd w:fill="EAF3FF"/>
            <w:tcBorders>
              <w:top w:val="single" w:sz="6" w:color="EAF3FF"/>
              <w:left w:val="single" w:sz="6" w:color="EAF3FF"/>
              <w:bottom w:val="single" w:sz="6" w:color="EAF3FF"/>
              <w:right w:val="single" w:sz="6" w:color="EAF3FF"/>
              <w:insideH w:val="single" w:sz="6" w:color="EAF3FF"/>
              <w:insideV w:val="single" w:sz="6" w:color="EAF3FF"/>
            </w:tcBorders>
            <w:tcMar>
              <w:top w:w="90" w:type="dxa"/>
              <w:start w:w="125" w:type="dxa"/>
              <w:bottom w:w="90" w:type="dxa"/>
              <w:end w:w="125" w:type="dxa"/>
            </w:tcMar>
          </w:tcPr>
          <w:p>
            <w:pPr>
              <w:spacing w:after="40"/>
            </w:pPr>
            <w:r>
              <w:rPr>
                <w:rFonts w:ascii="Aptos" w:hAnsi="Aptos"/>
                <w:b/>
                <w:i w:val="0"/>
                <w:color w:val="2E6BFF"/>
                <w:sz w:val="15"/>
              </w:rPr>
              <w:t>CONTACT</w:t>
            </w:r>
          </w:p>
          <w:p>
            <w:pPr>
              <w:spacing w:after="0"/>
            </w:pPr>
            <w:r>
              <w:rPr>
                <w:rFonts w:ascii="Aptos" w:hAnsi="Aptos"/>
                <w:b w:val="0"/>
                <w:i w:val="0"/>
                <w:color w:val="0B1F3A"/>
                <w:sz w:val="17"/>
              </w:rPr>
              <w:t>info@averionsoftware.com</w:t>
            </w:r>
          </w:p>
        </w:tc>
        <w:tc>
          <w:tcPr>
            <w:tcW w:type="dxa" w:w="3552"/>
            <w:shd w:fill="EAF3FF"/>
            <w:tcBorders>
              <w:top w:val="single" w:sz="6" w:color="EAF3FF"/>
              <w:left w:val="single" w:sz="6" w:color="EAF3FF"/>
              <w:bottom w:val="single" w:sz="6" w:color="EAF3FF"/>
              <w:right w:val="single" w:sz="6" w:color="EAF3FF"/>
              <w:insideH w:val="single" w:sz="6" w:color="EAF3FF"/>
              <w:insideV w:val="single" w:sz="6" w:color="EAF3FF"/>
            </w:tcBorders>
            <w:tcMar>
              <w:top w:w="90" w:type="dxa"/>
              <w:start w:w="125" w:type="dxa"/>
              <w:bottom w:w="90" w:type="dxa"/>
              <w:end w:w="125" w:type="dxa"/>
            </w:tcMar>
          </w:tcPr>
          <w:p>
            <w:pPr>
              <w:spacing w:after="40"/>
            </w:pPr>
            <w:r>
              <w:rPr>
                <w:rFonts w:ascii="Aptos" w:hAnsi="Aptos"/>
                <w:b/>
                <w:i w:val="0"/>
                <w:color w:val="2E6BFF"/>
                <w:sz w:val="15"/>
              </w:rPr>
              <w:t>WEB</w:t>
            </w:r>
          </w:p>
          <w:p>
            <w:pPr>
              <w:spacing w:after="0"/>
            </w:pPr>
            <w:r>
              <w:rPr>
                <w:rFonts w:ascii="Aptos" w:hAnsi="Aptos"/>
                <w:b w:val="0"/>
                <w:i w:val="0"/>
                <w:color w:val="0B1F3A"/>
                <w:sz w:val="17"/>
              </w:rPr>
              <w:t>averionsoftware.com</w:t>
            </w:r>
          </w:p>
        </w:tc>
        <w:tc>
          <w:tcPr>
            <w:tcW w:type="dxa" w:w="3552"/>
            <w:shd w:fill="EAF3FF"/>
            <w:tcBorders>
              <w:top w:val="single" w:sz="6" w:color="EAF3FF"/>
              <w:left w:val="single" w:sz="6" w:color="EAF3FF"/>
              <w:bottom w:val="single" w:sz="6" w:color="EAF3FF"/>
              <w:right w:val="single" w:sz="6" w:color="EAF3FF"/>
              <w:insideH w:val="single" w:sz="6" w:color="EAF3FF"/>
              <w:insideV w:val="single" w:sz="6" w:color="EAF3FF"/>
            </w:tcBorders>
            <w:tcMar>
              <w:top w:w="90" w:type="dxa"/>
              <w:start w:w="125" w:type="dxa"/>
              <w:bottom w:w="90" w:type="dxa"/>
              <w:end w:w="125" w:type="dxa"/>
            </w:tcMar>
          </w:tcPr>
          <w:p>
            <w:pPr>
              <w:spacing w:after="40"/>
            </w:pPr>
            <w:r>
              <w:rPr>
                <w:rFonts w:ascii="Aptos" w:hAnsi="Aptos"/>
                <w:b/>
                <w:i w:val="0"/>
                <w:color w:val="2E6BFF"/>
                <w:sz w:val="15"/>
              </w:rPr>
              <w:t>PRODUCT</w:t>
            </w:r>
          </w:p>
          <w:p>
            <w:pPr>
              <w:spacing w:after="0"/>
            </w:pPr>
            <w:r>
              <w:rPr>
                <w:rFonts w:ascii="Aptos" w:hAnsi="Aptos"/>
                <w:b w:val="0"/>
                <w:i w:val="0"/>
                <w:color w:val="0B1F3A"/>
                <w:sz w:val="17"/>
              </w:rPr>
              <w:t>covepm.averionsoftware.com</w:t>
            </w:r>
          </w:p>
        </w:tc>
      </w:tr>
    </w:tbl>
    <w:p>
      <w:pPr>
        <w:spacing w:before="100" w:after="0"/>
        <w:jc w:val="right"/>
      </w:pPr>
      <w:r>
        <w:rPr>
          <w:rFonts w:ascii="Aptos" w:hAnsi="Aptos"/>
          <w:b w:val="0"/>
          <w:i/>
          <w:color w:val="50657D"/>
          <w:sz w:val="15"/>
        </w:rPr>
        <w:t>Averion Software is preparing for initial customer and public-sector pilot engagements.</w:t>
      </w:r>
    </w:p>
    <w:sectPr w:rsidR="00FC693F" w:rsidRPr="0006063C" w:rsidSect="00034616">
      <w:pgSz w:w="12240" w:h="15840"/>
      <w:pgMar w:top="662"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50657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Averion Software Capability Statement</dc:title>
  <dc:subject>Capability statement for property operations software</dc:subject>
  <dc:creator>Averion Software</dc:creator>
  <cp:keywords/>
  <dc:description>generated by python-docx</dc:description>
  <cp:lastModifiedBy/>
  <cp:revision>1</cp:revision>
  <dcterms:created xsi:type="dcterms:W3CDTF">2013-12-23T23:15:00Z</dcterms:created>
  <dcterms:modified xsi:type="dcterms:W3CDTF">2013-12-23T23:15:00Z</dcterms:modified>
  <cp:category/>
</cp:coreProperties>
</file>