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in 2025-2026 and earned a PI Award. Trusted by the DoD, DHA, SSA, and CMS, and by global financial institutions, to architect systems that move billions in transactions, The Work Number among them,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chief-ai-officer-sigilark-charleston-sc"/>
    <w:p>
      <w:pPr>
        <w:pStyle w:val="Heading3"/>
      </w:pPr>
      <w:r>
        <w:t xml:space="preserve">Chief AI Officer — SigilArk, Charleston, SC</w:t>
      </w:r>
    </w:p>
    <w:p>
      <w:pPr>
        <w:pStyle w:val="FirstParagraph"/>
      </w:pPr>
      <w:r>
        <w:rPr>
          <w:b/>
          <w:bCs/>
        </w:rPr>
        <w:t xml:space="preserve">May 2025 – May 2026</w:t>
      </w:r>
    </w:p>
    <w:p>
      <w:pPr>
        <w:pStyle w:val="Compact"/>
        <w:numPr>
          <w:ilvl w:val="0"/>
          <w:numId w:val="1002"/>
        </w:numPr>
      </w:pPr>
      <w:r>
        <w:t xml:space="preserve">Led the development work for</w:t>
      </w:r>
      <w:r>
        <w:t xml:space="preserve"> </w:t>
      </w:r>
      <w:r>
        <w:rPr>
          <w:b/>
          <w:bCs/>
        </w:rPr>
        <w:t xml:space="preserve">DHA’s agency-wide EMPIRE software factory</w:t>
      </w:r>
      <w:r>
        <w:t xml:space="preserve">, delivering the governed AI delivery capability now in production across the agency. The delivery methodology was adopted program-wide by DHA Cyber Command and earned a PI Award.</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The Work Number peaked above 10M daily transactions, and the platform carried $1.7B+ in cumulative program revenue across 2019-2025.</w:t>
      </w:r>
    </w:p>
    <w:p>
      <w:pPr>
        <w:pStyle w:val="Compact"/>
        <w:numPr>
          <w:ilvl w:val="0"/>
          <w:numId w:val="1003"/>
        </w:numPr>
      </w:pPr>
      <w:r>
        <w:t xml:space="preserve">Directed product and sold on the ground, launching several new products that expanded penetration into the social-services agencies of</w:t>
      </w:r>
      <w:r>
        <w:t xml:space="preserve"> </w:t>
      </w:r>
      <w:r>
        <w:rPr>
          <w:b/>
          <w:bCs/>
        </w:rPr>
        <w:t xml:space="preserve">39 states</w:t>
      </w:r>
      <w:r>
        <w:t xml:space="preserve"> </w:t>
      </w:r>
      <w:r>
        <w:t xml:space="preserve">and the federal government.</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3337d788d831db50ecb08c21f4c57a217177c33"/>
    <w:p>
      <w:pPr>
        <w:pStyle w:val="Heading3"/>
      </w:pPr>
      <w:r>
        <w:t xml:space="preserve">Founder &amp; CIO — Catapult.io (Singapore), Charleston, SC &amp; Singapore</w:t>
      </w:r>
    </w:p>
    <w:p>
      <w:pPr>
        <w:pStyle w:val="FirstParagraph"/>
      </w:pPr>
      <w:r>
        <w:rPr>
          <w:b/>
          <w:bCs/>
        </w:rPr>
        <w:t xml:space="preserve">July 2017 – Acquired,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April 2013 – Sold, December 2016</w:t>
      </w:r>
      <w:r>
        <w:t xml:space="preserve"> </w:t>
      </w:r>
      <w:r>
        <w:t xml:space="preserve">(founded April 2013; full-time from June 2014)</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0bc7b23fad1d04a07c4295e934e3e43faca201e"/>
    <w:p>
      <w:pPr>
        <w:pStyle w:val="Heading3"/>
      </w:pPr>
      <w:r>
        <w:t xml:space="preserve">Senior 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2026-08-17T08:21:37Z</dcterms:created>
  <dcterms:modified xsi:type="dcterms:W3CDTF">2026-08-17T08:21:37Z</dcterms:modified>
</cp:coreProperties>
</file>

<file path=docProps/custom.xml><?xml version="1.0" encoding="utf-8"?>
<Properties xmlns="http://schemas.openxmlformats.org/officeDocument/2006/custom-properties" xmlns:vt="http://schemas.openxmlformats.org/officeDocument/2006/docPropsVTypes"/>
</file>