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99.5% compliance against the 247-control Windows Server 2022 STIG,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2026-08-10T16:43:19Z</dcterms:created>
  <dcterms:modified xsi:type="dcterms:W3CDTF">2026-08-10T16:43:19Z</dcterms:modified>
</cp:coreProperties>
</file>

<file path=docProps/custom.xml><?xml version="1.0" encoding="utf-8"?>
<Properties xmlns="http://schemas.openxmlformats.org/officeDocument/2006/custom-properties" xmlns:vt="http://schemas.openxmlformats.org/officeDocument/2006/docPropsVTypes"/>
</file>