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99.5% compliance against the 247-control Windows Server 2022 STIG, and platforms tested against the IL5 control baseline on AWS GovCloud. Five production DHA healthcare workloads were hardened to near-zero CVE on RHEL UBI 9 Minimal at a 93.2 SAST composite.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0017f797ac38d4ea0a3d97d04456119e3954dbe"/>
    <w:p>
      <w:pPr>
        <w:pStyle w:val="Heading3"/>
      </w:pPr>
      <w:r>
        <w:t xml:space="preserve">Chief AI Officer — Catapult.io, Charleston, SC</w:t>
      </w:r>
    </w:p>
    <w:p>
      <w:pPr>
        <w:pStyle w:val="FirstParagraph"/>
      </w:pPr>
      <w:r>
        <w:rPr>
          <w:b/>
          <w:bCs/>
        </w:rPr>
        <w:t xml:space="preserve">May 2025 – May 2026</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fff62b5a5e8cf320042d37b63029314626b2358"/>
    <w:p>
      <w:pPr>
        <w:pStyle w:val="Heading3"/>
      </w:pPr>
      <w:r>
        <w:t xml:space="preserve">Chief Information Officer — Catapult.io, Charleston, SC &amp; Singapore</w:t>
      </w:r>
    </w:p>
    <w:p>
      <w:pPr>
        <w:pStyle w:val="FirstParagraph"/>
      </w:pPr>
      <w:r>
        <w:rPr>
          <w:b/>
          <w:bCs/>
        </w:rPr>
        <w:t xml:space="preserve">July 2017 – Sold to Linxens,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2026-08-10T14:32:07Z</dcterms:created>
  <dcterms:modified xsi:type="dcterms:W3CDTF">2026-08-10T14:32:07Z</dcterms:modified>
</cp:coreProperties>
</file>

<file path=docProps/custom.xml><?xml version="1.0" encoding="utf-8"?>
<Properties xmlns="http://schemas.openxmlformats.org/officeDocument/2006/custom-properties" xmlns:vt="http://schemas.openxmlformats.org/officeDocument/2006/docPropsVTypes"/>
</file>