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99.6% (246 of 247) of the Windows Server 2022 STIG passing, AMI-hardened and STIG Viewer-verified, and platforms tested against the IL5 control baseline on AWS GovCloud. Five production DHA healthcare workloads were hardened to near-zero CVE on RHEL UBI 9 Minimal at a 93.2% STIG-checklist auto-pass rate (verified in STIG Viewer via Semgrep, Gitleaks, Trivy, and StackRox); the remaining checks were handled manually to protect OS and application stability.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chief-ai-officer-sigilark-charleston-sc"/>
    <w:p>
      <w:pPr>
        <w:pStyle w:val="Heading3"/>
      </w:pPr>
      <w:r>
        <w:t xml:space="preserve">Chief AI Officer — SigilArk, Charleston, SC</w:t>
      </w:r>
    </w:p>
    <w:p>
      <w:pPr>
        <w:pStyle w:val="FirstParagraph"/>
      </w:pPr>
      <w:r>
        <w:rPr>
          <w:b/>
          <w:bCs/>
        </w:rPr>
        <w:t xml:space="preserve">May 2025 – May 2026</w:t>
      </w:r>
    </w:p>
    <w:p>
      <w:pPr>
        <w:pStyle w:val="Compact"/>
        <w:numPr>
          <w:ilvl w:val="0"/>
          <w:numId w:val="1002"/>
        </w:numPr>
      </w:pPr>
      <w:r>
        <w:t xml:space="preserve">Led the development work for</w:t>
      </w:r>
      <w:r>
        <w:t xml:space="preserve"> </w:t>
      </w:r>
      <w:r>
        <w:rPr>
          <w:b/>
          <w:bCs/>
        </w:rPr>
        <w:t xml:space="preserve">DHA’s agency-wide EMPIRE software factory</w:t>
      </w:r>
      <w:r>
        <w:t xml:space="preserve">, delivering the governed AI delivery capability now in production across the agency.</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3337d788d831db50ecb08c21f4c57a217177c33"/>
    <w:p>
      <w:pPr>
        <w:pStyle w:val="Heading3"/>
      </w:pPr>
      <w:r>
        <w:t xml:space="preserve">Founder &amp; CIO — Catapult.io (Singapore), Charleston, SC &amp; Singapore</w:t>
      </w:r>
    </w:p>
    <w:p>
      <w:pPr>
        <w:pStyle w:val="FirstParagraph"/>
      </w:pPr>
      <w:r>
        <w:rPr>
          <w:b/>
          <w:bCs/>
        </w:rPr>
        <w:t xml:space="preserve">July 2017 – Acquired,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p>
      <w:r>
        <w:pict>
          <v:rect style="width:0;height:1.5pt" o:hralign="center" o:hrstd="t" o:hr="t"/>
        </w:pict>
      </w:r>
    </w:p>
    <w:p>
      <w:pPr>
        <w:pStyle w:val="FirstParagraph"/>
      </w:pPr>
      <w:r>
        <w:rPr>
          <w:i/>
          <w:iCs/>
        </w:rPr>
        <w:t xml:space="preserve">Metrics reflect accredited federal engagements. Program names, accreditation dates, and evidence packages are CUI or classified, and available only to appropriately cleared parties through official channels.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2026-08-11T02:34:23Z</dcterms:created>
  <dcterms:modified xsi:type="dcterms:W3CDTF">2026-08-11T02:34:23Z</dcterms:modified>
</cp:coreProperties>
</file>

<file path=docProps/custom.xml><?xml version="1.0" encoding="utf-8"?>
<Properties xmlns="http://schemas.openxmlformats.org/officeDocument/2006/custom-properties" xmlns:vt="http://schemas.openxmlformats.org/officeDocument/2006/docPropsVTypes"/>
</file>