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in 2025-2026 and earned a PI Award. Trusted by the DoD, DHA, SSA, and CMS, and by global financial institutions, to architect systems that move billions in transactions, The Work Number among them,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Provide technology leadership across Accelera’s 97-person organization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chief-ai-officer-sigilark-charleston-sc"/>
    <w:p>
      <w:pPr>
        <w:pStyle w:val="Heading3"/>
      </w:pPr>
      <w:r>
        <w:t xml:space="preserve">Chief AI Officer — SigilArk,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 The delivery methodology was adopted program-wide by DHA Cyber Command and earned a PI Award.</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The Work Number peaked above 10M daily transactions, and the platform carried $1.7B+ in cumulative program revenue across 2019-2025.</w:t>
      </w:r>
    </w:p>
    <w:p>
      <w:pPr>
        <w:pStyle w:val="Compact"/>
        <w:numPr>
          <w:ilvl w:val="0"/>
          <w:numId w:val="1003"/>
        </w:numPr>
      </w:pPr>
      <w:r>
        <w:t xml:space="preserve">Directed product and sold on the ground, launching several new products that expanded penetration into the social-services agencies of</w:t>
      </w:r>
      <w:r>
        <w:t xml:space="preserve"> </w:t>
      </w:r>
      <w:r>
        <w:rPr>
          <w:b/>
          <w:bCs/>
        </w:rPr>
        <w:t xml:space="preserve">39 states</w:t>
      </w:r>
      <w:r>
        <w:t xml:space="preserve"> </w:t>
      </w:r>
      <w:r>
        <w:t xml:space="preserve">and the federal government.</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April 2013 – Sold, December 2016</w:t>
      </w:r>
      <w:r>
        <w:t xml:space="preserve"> </w:t>
      </w:r>
      <w:r>
        <w:t xml:space="preserve">(founded April 2013; full-time from June 2014)</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0bc7b23fad1d04a07c4295e934e3e43faca201e"/>
    <w:p>
      <w:pPr>
        <w:pStyle w:val="Heading3"/>
      </w:pPr>
      <w:r>
        <w:t xml:space="preserve">Senior 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2026-08-17T08:25:02Z</dcterms:created>
  <dcterms:modified xsi:type="dcterms:W3CDTF">2026-08-17T08:25:02Z</dcterms:modified>
</cp:coreProperties>
</file>

<file path=docProps/custom.xml><?xml version="1.0" encoding="utf-8"?>
<Properties xmlns="http://schemas.openxmlformats.org/officeDocument/2006/custom-properties" xmlns:vt="http://schemas.openxmlformats.org/officeDocument/2006/docPropsVTypes"/>
</file>