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ayel-blake-ostraco"/>
    <w:p>
      <w:pPr>
        <w:pStyle w:val="Heading1"/>
      </w:pPr>
      <w:r>
        <w:t xml:space="preserve">DAYEL BLAKE OSTRACO</w:t>
      </w:r>
    </w:p>
    <w:p>
      <w:pPr>
        <w:pStyle w:val="FirstParagraph"/>
      </w:pPr>
      <w:r>
        <w:rPr>
          <w:b/>
          <w:bCs/>
        </w:rPr>
        <w:t xml:space="preserve">Chief AI Officer · Federal AI &amp; Secure Systems Architect</w:t>
      </w:r>
      <w:r>
        <w:t xml:space="preserve"> </w:t>
      </w:r>
      <w:r>
        <w:t xml:space="preserve">DoD-Cleared Technologist · A CAIO who still ships</w:t>
      </w:r>
    </w:p>
    <w:p>
      <w:pPr>
        <w:pStyle w:val="BodyText"/>
      </w:pPr>
      <w:r>
        <w:t xml:space="preserve">212.838.9800 · dayel.ostraco@proton.me</w:t>
      </w:r>
      <w:r>
        <w:t xml:space="preserve"> </w:t>
      </w:r>
      <w:r>
        <w:t xml:space="preserve">https://dayelostra.co · https://www.linkedin.com/in/dayelostraco/ · GitHub:</w:t>
      </w:r>
      <w:r>
        <w:t xml:space="preserve"> </w:t>
      </w:r>
      <w:r>
        <w:t xml:space="preserve">@dayelostraco</w:t>
      </w:r>
    </w:p>
    <w:p>
      <w:r>
        <w:pict>
          <v:rect style="width:0;height:1.5pt" o:hralign="center" o:hrstd="t" o:hr="t"/>
        </w:pict>
      </w:r>
    </w:p>
    <w:bookmarkStart w:id="9" w:name="summary"/>
    <w:p>
      <w:pPr>
        <w:pStyle w:val="Heading2"/>
      </w:pPr>
      <w:r>
        <w:t xml:space="preserve">SUMMARY</w:t>
      </w:r>
    </w:p>
    <w:p>
      <w:pPr>
        <w:pStyle w:val="FirstParagraph"/>
      </w:pPr>
      <w:r>
        <w:t xml:space="preserve">Chief AI Officer and secure-systems architect with 20 years designing and delivering secure, full-stack platforms for federal, defense, and public-sector missions. I run an AI software factory: a governed bench of specialist agents where Claude Code and Codex drive development, UX, and adversarial review across a multi-model stack (Claude, Codex, Llama 4 Maverick, Kimi K2, Gemini, Mistral), and every change ships through antagonist peer review and Human CCB. Hands-on daily, I turn that discipline into audit-ready outcomes:</w:t>
      </w:r>
      <w:r>
        <w:t xml:space="preserve"> </w:t>
      </w:r>
      <w:r>
        <w:rPr>
          <w:b/>
          <w:bCs/>
        </w:rPr>
        <w:t xml:space="preserve">zero Critical, High, or Medium findings across four federal programs</w:t>
      </w:r>
      <w:r>
        <w:t xml:space="preserve">, 83.5% CVE auto-resolution (101 of 121), 99.6% (246 of 247) of the Windows Server 2022 STIG passing, AMI-hardened and STIG Viewer-verified, and platforms tested against the IL5 control baseline on AWS GovCloud. Five production DHA healthcare workloads were hardened to near-zero CVE on RHEL UBI 9 Minimal at a 93.2% STIG-checklist auto-pass rate (verified in STIG Viewer via Semgrep, Gitleaks, Trivy, and StackRox); the remaining checks were handled manually to protect OS and application stability. The delivery methodology was adopted program-wide by DHA Cyber Command in 2025-2026 and earned a PI Award. Trusted by the DoD, DHA, SSA, and CMS, and by global financial institutions, to architect systems that move billions in transactions, The Work Number among them, and survive the audit afterward. CISSP; active DoD Secret clearance, TS-eligible.</w:t>
      </w:r>
    </w:p>
    <w:p>
      <w:r>
        <w:pict>
          <v:rect style="width:0;height:1.5pt" o:hralign="center" o:hrstd="t" o:hr="t"/>
        </w:pict>
      </w:r>
    </w:p>
    <w:bookmarkEnd w:id="9"/>
    <w:bookmarkStart w:id="19" w:name="professional-experience"/>
    <w:p>
      <w:pPr>
        <w:pStyle w:val="Heading2"/>
      </w:pPr>
      <w:r>
        <w:t xml:space="preserve">PROFESSIONAL EXPERIENCE</w:t>
      </w:r>
    </w:p>
    <w:bookmarkStart w:id="10" w:name="Xa7a262c44fde4cba61fd900bad0a2d8cc250b08"/>
    <w:p>
      <w:pPr>
        <w:pStyle w:val="Heading3"/>
      </w:pPr>
      <w:r>
        <w:t xml:space="preserve">Chief AI Officer — Pacific Technologies and Solutions, Charleston, SC</w:t>
      </w:r>
    </w:p>
    <w:p>
      <w:pPr>
        <w:pStyle w:val="FirstParagraph"/>
      </w:pPr>
      <w:r>
        <w:rPr>
          <w:b/>
          <w:bCs/>
        </w:rPr>
        <w:t xml:space="preserve">September 2026 – Present</w:t>
      </w:r>
    </w:p>
    <w:p>
      <w:pPr>
        <w:pStyle w:val="Compact"/>
        <w:numPr>
          <w:ilvl w:val="0"/>
          <w:numId w:val="1001"/>
        </w:numPr>
      </w:pPr>
      <w:r>
        <w:t xml:space="preserve">Own all technology and AI responsibility across the company: technology strategy, AI strategy, delivery, and engineering, plus the technical shape of new federal pursuits.</w:t>
      </w:r>
    </w:p>
    <w:p>
      <w:pPr>
        <w:pStyle w:val="Compact"/>
        <w:numPr>
          <w:ilvl w:val="0"/>
          <w:numId w:val="1001"/>
        </w:numPr>
      </w:pPr>
      <w:r>
        <w:t xml:space="preserve">Pacific Technologies and Solutions is an SBA-certified 8(a) Native Hawaiian Organization delivering program and contract management, high-end systems integration, and logistics to federal customers in remote and hard-to-reach locations worldwide.</w:t>
      </w:r>
    </w:p>
    <w:p>
      <w:pPr>
        <w:pStyle w:val="Compact"/>
        <w:numPr>
          <w:ilvl w:val="0"/>
          <w:numId w:val="1001"/>
        </w:numPr>
      </w:pPr>
      <w:r>
        <w:t xml:space="preserve">Standing up the governed AI delivery capability, carrying forward the agent bench, antagonist review, and cATO discipline proven on prior federal programs.</w:t>
      </w:r>
    </w:p>
    <w:bookmarkEnd w:id="10"/>
    <w:bookmarkStart w:id="11" w:name="Xdc0d199adf4412444e3c5366da6a1e26c9aa70e"/>
    <w:p>
      <w:pPr>
        <w:pStyle w:val="Heading3"/>
      </w:pPr>
      <w:r>
        <w:t xml:space="preserve">Chief AI Officer — Accelera Solutions, Charleston, SC</w:t>
      </w:r>
    </w:p>
    <w:p>
      <w:pPr>
        <w:pStyle w:val="FirstParagraph"/>
      </w:pPr>
      <w:r>
        <w:rPr>
          <w:b/>
          <w:bCs/>
        </w:rPr>
        <w:t xml:space="preserve">May 2026 – September 2026</w:t>
      </w:r>
    </w:p>
    <w:p>
      <w:pPr>
        <w:pStyle w:val="Compact"/>
        <w:numPr>
          <w:ilvl w:val="0"/>
          <w:numId w:val="1002"/>
        </w:numPr>
      </w:pPr>
      <w:r>
        <w:t xml:space="preserve">Owned all AI strategy, delivery, and engineering across the organization, running</w:t>
      </w:r>
      <w:r>
        <w:t xml:space="preserve"> </w:t>
      </w:r>
      <w:r>
        <w:rPr>
          <w:b/>
          <w:bCs/>
        </w:rPr>
        <w:t xml:space="preserve">Glyphon</w:t>
      </w:r>
      <w:r>
        <w:t xml:space="preserve"> </w:t>
      </w:r>
      <w:r>
        <w:t xml:space="preserve">and the</w:t>
      </w:r>
      <w:r>
        <w:t xml:space="preserve"> </w:t>
      </w:r>
      <w:r>
        <w:rPr>
          <w:b/>
          <w:bCs/>
        </w:rPr>
        <w:t xml:space="preserve">Colophon</w:t>
      </w:r>
      <w:r>
        <w:t xml:space="preserve"> </w:t>
      </w:r>
      <w:r>
        <w:t xml:space="preserve">software factory in production to deliver the</w:t>
      </w:r>
      <w:r>
        <w:t xml:space="preserve"> </w:t>
      </w:r>
      <w:r>
        <w:rPr>
          <w:b/>
          <w:bCs/>
        </w:rPr>
        <w:t xml:space="preserve">U.S. Navy and DHA</w:t>
      </w:r>
      <w:r>
        <w:t xml:space="preserve"> </w:t>
      </w:r>
      <w:r>
        <w:t xml:space="preserve">federal AI engagement, first established with mSTAX in 2018.</w:t>
      </w:r>
    </w:p>
    <w:p>
      <w:pPr>
        <w:pStyle w:val="Compact"/>
        <w:numPr>
          <w:ilvl w:val="0"/>
          <w:numId w:val="1002"/>
        </w:numPr>
      </w:pPr>
      <w:r>
        <w:t xml:space="preserve">Deployed AI/ML services within secure DHA enclaves using Llama 4, Llama Vision, Ollama, and Mistral, integrated with PostgreSQL, MongoDB, and CosmosDB for decisioning and inference pipelines.</w:t>
      </w:r>
    </w:p>
    <w:p>
      <w:pPr>
        <w:pStyle w:val="Compact"/>
        <w:numPr>
          <w:ilvl w:val="0"/>
          <w:numId w:val="1002"/>
        </w:numPr>
      </w:pPr>
      <w:r>
        <w:t xml:space="preserve">Secured multiple ATOs for bleeding-edge platforms (Iroha2 Blockchain, OpenWebUI, NestJS, Ollama) across RMF, STIGs, and Zero Trust; deployed distroless FIPS 140-3 images (Iron Bank/Chainguard) on Zero-CVE baselines.</w:t>
      </w:r>
    </w:p>
    <w:p>
      <w:pPr>
        <w:pStyle w:val="Compact"/>
        <w:numPr>
          <w:ilvl w:val="0"/>
          <w:numId w:val="1002"/>
        </w:numPr>
      </w:pPr>
      <w:r>
        <w:t xml:space="preserve">Built a User Authorization service atop DoD federated identity (iAS, DS Logon), extending OAuth roles per application for fine-grained access control in mission-critical workflows.</w:t>
      </w:r>
    </w:p>
    <w:bookmarkEnd w:id="11"/>
    <w:bookmarkStart w:id="12" w:name="X436b5cdf67cf2f26191f0a421a405f22238c350"/>
    <w:p>
      <w:pPr>
        <w:pStyle w:val="Heading3"/>
      </w:pPr>
      <w:r>
        <w:t xml:space="preserve">Founder &amp; Chief AI Officer — SigilArk, Charleston, SC</w:t>
      </w:r>
    </w:p>
    <w:p>
      <w:pPr>
        <w:pStyle w:val="FirstParagraph"/>
      </w:pPr>
      <w:r>
        <w:rPr>
          <w:b/>
          <w:bCs/>
        </w:rPr>
        <w:t xml:space="preserve">May 2025 – Present</w:t>
      </w:r>
    </w:p>
    <w:p>
      <w:pPr>
        <w:pStyle w:val="Compact"/>
        <w:numPr>
          <w:ilvl w:val="0"/>
          <w:numId w:val="1003"/>
        </w:numPr>
      </w:pPr>
      <w:r>
        <w:t xml:space="preserve">Led the development work for</w:t>
      </w:r>
      <w:r>
        <w:t xml:space="preserve"> </w:t>
      </w:r>
      <w:r>
        <w:rPr>
          <w:b/>
          <w:bCs/>
        </w:rPr>
        <w:t xml:space="preserve">DHA’s agency-wide EMPIRE software factory</w:t>
      </w:r>
      <w:r>
        <w:t xml:space="preserve">, delivering the governed AI delivery capability now in production across the agency. The delivery methodology was adopted program-wide by DHA Cyber Command and earned a PI Award.</w:t>
      </w:r>
    </w:p>
    <w:p>
      <w:pPr>
        <w:pStyle w:val="Compact"/>
        <w:numPr>
          <w:ilvl w:val="0"/>
          <w:numId w:val="1003"/>
        </w:numPr>
      </w:pPr>
      <w:r>
        <w:t xml:space="preserve">Architected</w:t>
      </w:r>
      <w:r>
        <w:t xml:space="preserve"> </w:t>
      </w:r>
      <w:r>
        <w:rPr>
          <w:b/>
          <w:bCs/>
        </w:rPr>
        <w:t xml:space="preserve">Glyphon</w:t>
      </w:r>
      <w:r>
        <w:t xml:space="preserve">, a multi-provider AI agent orchestration platform producing deterministic, reproducible compliance artifacts across OpenAI, Claude, Gemini, and AWS Bedrock; 50 production agents across 7 playbooks (CVE resolution, AMI/container hardening, eMASS POAM, FedRAMP SSP); IL5 control baseline tested on AWS GovCloud with Llama 4 Maverick, April 2026.</w:t>
      </w:r>
    </w:p>
    <w:p>
      <w:pPr>
        <w:pStyle w:val="Compact"/>
        <w:numPr>
          <w:ilvl w:val="0"/>
          <w:numId w:val="1003"/>
        </w:numPr>
      </w:pPr>
      <w:r>
        <w:t xml:space="preserve">Built</w:t>
      </w:r>
      <w:r>
        <w:t xml:space="preserve"> </w:t>
      </w:r>
      <w:r>
        <w:rPr>
          <w:b/>
          <w:bCs/>
        </w:rPr>
        <w:t xml:space="preserve">Colophon</w:t>
      </w:r>
      <w:r>
        <w:t xml:space="preserve">, a governed AI software factory (specialist agent bench + Claude Code skills) that emits the RMF artifact set as a byproduct of delivery, with every merge clearing antagonist peer review and Human CCB under cATO discipline.</w:t>
      </w:r>
    </w:p>
    <w:p>
      <w:pPr>
        <w:pStyle w:val="Compact"/>
        <w:numPr>
          <w:ilvl w:val="0"/>
          <w:numId w:val="1003"/>
        </w:numPr>
      </w:pPr>
      <w:r>
        <w:t xml:space="preserve">Delivered four federal programs with</w:t>
      </w:r>
      <w:r>
        <w:t xml:space="preserve"> </w:t>
      </w:r>
      <w:r>
        <w:rPr>
          <w:b/>
          <w:bCs/>
        </w:rPr>
        <w:t xml:space="preserve">zero Critical, High, or Medium findings</w:t>
      </w:r>
      <w:r>
        <w:t xml:space="preserve"> </w:t>
      </w:r>
      <w:r>
        <w:t xml:space="preserve">(10 Low total); shipped</w:t>
      </w:r>
      <w:r>
        <w:t xml:space="preserve"> </w:t>
      </w:r>
      <w:r>
        <w:rPr>
          <w:b/>
          <w:bCs/>
        </w:rPr>
        <w:t xml:space="preserve">Vallark</w:t>
      </w:r>
      <w:r>
        <w:t xml:space="preserve">, an ATO-capable .mil mobile framework compressing 12 months of compliance plumbing to ~4 weeks, with two IL4 systems in production since March 2026 and ATOs held without lapse.</w:t>
      </w:r>
    </w:p>
    <w:bookmarkEnd w:id="12"/>
    <w:bookmarkStart w:id="13" w:name="X5f622c6192f3b01f648512659f5752779cc5bc0"/>
    <w:p>
      <w:pPr>
        <w:pStyle w:val="Heading3"/>
      </w:pPr>
      <w:r>
        <w:t xml:space="preserve">Senior Director of Product Management — Equifax, Washington, D.C.</w:t>
      </w:r>
    </w:p>
    <w:p>
      <w:pPr>
        <w:pStyle w:val="FirstParagraph"/>
      </w:pPr>
      <w:r>
        <w:rPr>
          <w:b/>
          <w:bCs/>
        </w:rPr>
        <w:t xml:space="preserve">June 2019 – May 2025</w:t>
      </w:r>
    </w:p>
    <w:p>
      <w:pPr>
        <w:pStyle w:val="Compact"/>
        <w:numPr>
          <w:ilvl w:val="0"/>
          <w:numId w:val="1004"/>
        </w:numPr>
      </w:pPr>
      <w:r>
        <w:t xml:space="preserve">Directed development of a secure Income and Identity Verification platform for Equifax Government Services, delivering Web and API services to state and federal agencies (CMS, SSA); The Work Number peaked above 10M daily transactions, and the platform carried $1.7B+ in cumulative program revenue across 2019-2025.</w:t>
      </w:r>
    </w:p>
    <w:p>
      <w:pPr>
        <w:pStyle w:val="Compact"/>
        <w:numPr>
          <w:ilvl w:val="0"/>
          <w:numId w:val="1004"/>
        </w:numPr>
      </w:pPr>
      <w:r>
        <w:t xml:space="preserve">Directed product and sold on the ground, launching several new products that expanded penetration into the social-services agencies of</w:t>
      </w:r>
      <w:r>
        <w:t xml:space="preserve"> </w:t>
      </w:r>
      <w:r>
        <w:rPr>
          <w:b/>
          <w:bCs/>
        </w:rPr>
        <w:t xml:space="preserve">39 states</w:t>
      </w:r>
      <w:r>
        <w:t xml:space="preserve"> </w:t>
      </w:r>
      <w:r>
        <w:t xml:space="preserve">and the federal government.</w:t>
      </w:r>
    </w:p>
    <w:p>
      <w:pPr>
        <w:pStyle w:val="Compact"/>
        <w:numPr>
          <w:ilvl w:val="0"/>
          <w:numId w:val="1004"/>
        </w:numPr>
      </w:pPr>
      <w:r>
        <w:t xml:space="preserve">Led end-to-end design of an AI/ML decisioning platform automating social-service eligibility with GenAI models, federal policy logic, and real-time data, delivering measurable reductions in backlog, fraud, and determination time.</w:t>
      </w:r>
    </w:p>
    <w:p>
      <w:pPr>
        <w:pStyle w:val="Compact"/>
        <w:numPr>
          <w:ilvl w:val="0"/>
          <w:numId w:val="1004"/>
        </w:numPr>
      </w:pPr>
      <w:r>
        <w:t xml:space="preserve">Architected scalable pipelines on Apache NiFi, Kafka, and MLflow, integrating Equifax data services with federal APIs for real-time adjudication and model inference; integrated Ollama, Google Gemini, and Vertex AI for explainable, policy-aligned determinations.</w:t>
      </w:r>
    </w:p>
    <w:p>
      <w:pPr>
        <w:pStyle w:val="Compact"/>
        <w:numPr>
          <w:ilvl w:val="0"/>
          <w:numId w:val="1004"/>
        </w:numPr>
      </w:pPr>
      <w:r>
        <w:t xml:space="preserve">Delivered with full FedRAMP and HIPAA compliance under SSA sponsorship, meeting FISMA/NIST controls, while holding SOX and FCRA throughout.</w:t>
      </w:r>
    </w:p>
    <w:p>
      <w:pPr>
        <w:pStyle w:val="Compact"/>
        <w:numPr>
          <w:ilvl w:val="0"/>
          <w:numId w:val="1004"/>
        </w:numPr>
      </w:pPr>
      <w:r>
        <w:t xml:space="preserve">Coordinated rapid disaster-relief data solutions (DSNAP) with the State of Florida during Hurricane Ian, enabling real-time identity/income verification under urgent conditions.</w:t>
      </w:r>
    </w:p>
    <w:bookmarkEnd w:id="13"/>
    <w:bookmarkStart w:id="14" w:name="X3337d788d831db50ecb08c21f4c57a217177c33"/>
    <w:p>
      <w:pPr>
        <w:pStyle w:val="Heading3"/>
      </w:pPr>
      <w:r>
        <w:t xml:space="preserve">Founder &amp; CIO — Catapult.io (Singapore), Charleston, SC &amp; Singapore</w:t>
      </w:r>
    </w:p>
    <w:p>
      <w:pPr>
        <w:pStyle w:val="FirstParagraph"/>
      </w:pPr>
      <w:r>
        <w:rPr>
          <w:b/>
          <w:bCs/>
        </w:rPr>
        <w:t xml:space="preserve">July 2017 – Acquired, June 2019</w:t>
      </w:r>
    </w:p>
    <w:p>
      <w:pPr>
        <w:pStyle w:val="Compact"/>
        <w:numPr>
          <w:ilvl w:val="0"/>
          <w:numId w:val="1005"/>
        </w:numPr>
      </w:pPr>
      <w:r>
        <w:t xml:space="preserve">Designed and built</w:t>
      </w:r>
      <w:r>
        <w:t xml:space="preserve"> </w:t>
      </w:r>
      <w:r>
        <w:rPr>
          <w:b/>
          <w:bCs/>
        </w:rPr>
        <w:t xml:space="preserve">mSTAX</w:t>
      </w:r>
      <w:r>
        <w:t xml:space="preserve">, a secure modular full-stack platform for the Department of the Navy and DHA to evaluate and operationalize AI/ML and LLM inference in mission-critical environments; authored the codebase in Python and JavaScript with model scoring, benchmarking, and GPU/CPU analytics.</w:t>
      </w:r>
    </w:p>
    <w:p>
      <w:pPr>
        <w:pStyle w:val="Compact"/>
        <w:numPr>
          <w:ilvl w:val="0"/>
          <w:numId w:val="1005"/>
        </w:numPr>
      </w:pPr>
      <w:r>
        <w:t xml:space="preserve">Integrated AWS SageMaker and Gluon for predictive clinical models (echocardiograms, stress tests) for early atrial-fibrillation detection; achieved a successful ATO under HIPAA and MEDCOI. mSTAX showcased at the 2018 DHA Open House as</w:t>
      </w:r>
      <w:r>
        <w:t xml:space="preserve"> </w:t>
      </w:r>
      <w:r>
        <w:t xml:space="preserve">“the future of all mobile and web technologies for the DoD.”</w:t>
      </w:r>
    </w:p>
    <w:p>
      <w:pPr>
        <w:pStyle w:val="Compact"/>
        <w:numPr>
          <w:ilvl w:val="0"/>
          <w:numId w:val="1005"/>
        </w:numPr>
      </w:pPr>
      <w:r>
        <w:t xml:space="preserve">Built the Linxens dLoc platform (blockchain + NFC-linked document twins) for tamper-resistant digital documents; deployed containerized microservices across AWS and Azure for cross-cloud identity assurance.</w:t>
      </w:r>
    </w:p>
    <w:bookmarkEnd w:id="14"/>
    <w:bookmarkStart w:id="15" w:name="X91832be423b55600776d4f0e30b376151c8b56c"/>
    <w:p>
      <w:pPr>
        <w:pStyle w:val="Heading3"/>
      </w:pPr>
      <w:r>
        <w:t xml:space="preserve">Chief Engineer — CACI International, Charleston, SC</w:t>
      </w:r>
    </w:p>
    <w:p>
      <w:pPr>
        <w:pStyle w:val="FirstParagraph"/>
      </w:pPr>
      <w:r>
        <w:rPr>
          <w:b/>
          <w:bCs/>
        </w:rPr>
        <w:t xml:space="preserve">August 2016 – June 2017</w:t>
      </w:r>
    </w:p>
    <w:p>
      <w:pPr>
        <w:pStyle w:val="Compact"/>
        <w:numPr>
          <w:ilvl w:val="0"/>
          <w:numId w:val="1006"/>
        </w:numPr>
      </w:pPr>
      <w:r>
        <w:t xml:space="preserve">Led a 15-person team delivering a Big Data medical information platform for DHA, the VA, and all five branches of the U.S. Armed Forces; delivered the Agile Core Data Access Layer (ACS-DAL) for NIWC-LANT supporting the MHS GENESIS backend.</w:t>
      </w:r>
    </w:p>
    <w:p>
      <w:pPr>
        <w:pStyle w:val="Compact"/>
        <w:numPr>
          <w:ilvl w:val="0"/>
          <w:numId w:val="1006"/>
        </w:numPr>
      </w:pPr>
      <w:r>
        <w:t xml:space="preserve">Engineered 50+ secure ingestion pipelines handling terabytes daily in HL7, FHIR, CSV, and OMAP across AWS GovCloud and DoD (.mil) infrastructure, with least-privilege enforcement under RMF and Agile DevSecOps.</w:t>
      </w:r>
    </w:p>
    <w:bookmarkEnd w:id="15"/>
    <w:bookmarkStart w:id="16" w:name="Xee46ddbdda7617c09a79714ecf6a51a7517866e"/>
    <w:p>
      <w:pPr>
        <w:pStyle w:val="Heading3"/>
      </w:pPr>
      <w:r>
        <w:t xml:space="preserve">Founder &amp; CTO — Qonceptual, Inc., Charleston, SC</w:t>
      </w:r>
    </w:p>
    <w:p>
      <w:pPr>
        <w:pStyle w:val="FirstParagraph"/>
      </w:pPr>
      <w:r>
        <w:rPr>
          <w:b/>
          <w:bCs/>
        </w:rPr>
        <w:t xml:space="preserve">April 2013 – Sold, December 2016</w:t>
      </w:r>
      <w:r>
        <w:t xml:space="preserve"> </w:t>
      </w:r>
      <w:r>
        <w:t xml:space="preserve">(founded April 2013; full-time from June 2014)</w:t>
      </w:r>
    </w:p>
    <w:p>
      <w:pPr>
        <w:pStyle w:val="Compact"/>
        <w:numPr>
          <w:ilvl w:val="0"/>
          <w:numId w:val="1007"/>
        </w:numPr>
      </w:pPr>
      <w:r>
        <w:t xml:space="preserve">Scaled from a single-person operation to a 15-developer, $6.5M/year engineering firm serving federal and commercial clients with cloud-native solutions, culminating in acquisition.</w:t>
      </w:r>
    </w:p>
    <w:p>
      <w:pPr>
        <w:pStyle w:val="Compact"/>
        <w:numPr>
          <w:ilvl w:val="0"/>
          <w:numId w:val="1007"/>
        </w:numPr>
      </w:pPr>
      <w:r>
        <w:t xml:space="preserve">Architected a microservices infrastructure of reusable, modular APIs to accelerate time-to-market and optimize cloud cost and margin.</w:t>
      </w:r>
    </w:p>
    <w:bookmarkEnd w:id="16"/>
    <w:bookmarkStart w:id="17" w:name="X53cf23d6b092523041436aed7ff614af0acfe10"/>
    <w:p>
      <w:pPr>
        <w:pStyle w:val="Heading3"/>
      </w:pPr>
      <w:r>
        <w:t xml:space="preserve">Director of Mobile Development — Starwood Hotels &amp; Resorts / Marriott, Stamford, CT</w:t>
      </w:r>
    </w:p>
    <w:p>
      <w:pPr>
        <w:pStyle w:val="FirstParagraph"/>
      </w:pPr>
      <w:r>
        <w:rPr>
          <w:b/>
          <w:bCs/>
        </w:rPr>
        <w:t xml:space="preserve">July 2013 – June 2014</w:t>
      </w:r>
    </w:p>
    <w:p>
      <w:pPr>
        <w:pStyle w:val="Compact"/>
        <w:numPr>
          <w:ilvl w:val="0"/>
          <w:numId w:val="1008"/>
        </w:numPr>
      </w:pPr>
      <w:r>
        <w:t xml:space="preserve">Led architecture of the SPG mobile platform (iOS, Android, Apple Watch) used by millions; the SPG Watch app was featured during Apple’s 2014 keynote. Designed the first mobile check-in/keyless-room system (BLE/NFC + hybrid cloud).</w:t>
      </w:r>
    </w:p>
    <w:bookmarkEnd w:id="17"/>
    <w:bookmarkStart w:id="18" w:name="X0bc7b23fad1d04a07c4295e934e3e43faca201e"/>
    <w:p>
      <w:pPr>
        <w:pStyle w:val="Heading3"/>
      </w:pPr>
      <w:r>
        <w:t xml:space="preserve">Senior Director of Software Engineering — Booz Allen Hamilton, Charleston, SC</w:t>
      </w:r>
    </w:p>
    <w:p>
      <w:pPr>
        <w:pStyle w:val="FirstParagraph"/>
      </w:pPr>
      <w:r>
        <w:rPr>
          <w:b/>
          <w:bCs/>
        </w:rPr>
        <w:t xml:space="preserve">February 2011 – July 2013</w:t>
      </w:r>
    </w:p>
    <w:p>
      <w:pPr>
        <w:pStyle w:val="Compact"/>
        <w:numPr>
          <w:ilvl w:val="0"/>
          <w:numId w:val="1009"/>
        </w:numPr>
      </w:pPr>
      <w:r>
        <w:t xml:space="preserve">Directed engineering across three business lines and 75+ engineers; served as Tactical Lead for VBMS, coordinating Agile delivery across 12 teams in a 30-team VA modernization effort.</w:t>
      </w:r>
    </w:p>
    <w:p>
      <w:r>
        <w:pict>
          <v:rect style="width:0;height:1.5pt" o:hralign="center" o:hrstd="t" o:hr="t"/>
        </w:pict>
      </w:r>
    </w:p>
    <w:bookmarkEnd w:id="18"/>
    <w:bookmarkEnd w:id="19"/>
    <w:bookmarkStart w:id="20" w:name="technical-proficiencies"/>
    <w:p>
      <w:pPr>
        <w:pStyle w:val="Heading2"/>
      </w:pPr>
      <w:r>
        <w:t xml:space="preserve">TECHNICAL PROFICIENCIES</w:t>
      </w:r>
    </w:p>
    <w:p>
      <w:pPr>
        <w:pStyle w:val="FirstParagraph"/>
      </w:pPr>
      <w:r>
        <w:rPr>
          <w:b/>
          <w:bCs/>
        </w:rPr>
        <w:t xml:space="preserve">Languages &amp; Frameworks:</w:t>
      </w:r>
      <w:r>
        <w:t xml:space="preserve"> </w:t>
      </w:r>
      <w:r>
        <w:t xml:space="preserve">Python, Java, TypeScript, JavaScript, React, Node.js/NestJS, Spring Boot, Go, Kotlin, Swift, Astro, SQL, REST APIs, Shell</w:t>
      </w:r>
    </w:p>
    <w:p>
      <w:pPr>
        <w:pStyle w:val="BodyText"/>
      </w:pPr>
      <w:r>
        <w:rPr>
          <w:b/>
          <w:bCs/>
        </w:rPr>
        <w:t xml:space="preserve">Cloud &amp; Infrastructure:</w:t>
      </w:r>
      <w:r>
        <w:t xml:space="preserve"> </w:t>
      </w:r>
      <w:r>
        <w:t xml:space="preserve">AWS GovCloud, Azure, GCP, Docker, Kubernetes, AWS CDK/IaC, GitLab CI/CD, PostgreSQL, MongoDB, CosmosDB, Iron Bank, Chainguard</w:t>
      </w:r>
    </w:p>
    <w:p>
      <w:pPr>
        <w:pStyle w:val="BodyText"/>
      </w:pPr>
      <w:r>
        <w:rPr>
          <w:b/>
          <w:bCs/>
        </w:rPr>
        <w:t xml:space="preserve">AI-Native Delivery:</w:t>
      </w:r>
      <w:r>
        <w:t xml:space="preserve"> </w:t>
      </w:r>
      <w:r>
        <w:t xml:space="preserve">Agentic development (Claude Code, Codex), skill &amp; agent authoring, adversarial &amp; UX review passes, multi-model orchestration (Claude, Codex, Llama 4 Maverick, Kimi K2, Gemini, Mistral), Ollama, OpenWebUI, MLflow, model lifecycle, Apache NiFi, Kafka</w:t>
      </w:r>
    </w:p>
    <w:p>
      <w:pPr>
        <w:pStyle w:val="BodyText"/>
      </w:pPr>
      <w:r>
        <w:rPr>
          <w:b/>
          <w:bCs/>
        </w:rPr>
        <w:t xml:space="preserve">Security &amp; Compliance:</w:t>
      </w:r>
      <w:r>
        <w:t xml:space="preserve"> </w:t>
      </w:r>
      <w:r>
        <w:t xml:space="preserve">Zero Trust, RMF, ATO, FedRAMP High, HIPAA, MEDCOI, FIPS 140-3, STIG, NIST 800-53, eMASS, SOX, FCRA</w:t>
      </w:r>
    </w:p>
    <w:p>
      <w:r>
        <w:pict>
          <v:rect style="width:0;height:1.5pt" o:hralign="center" o:hrstd="t" o:hr="t"/>
        </w:pict>
      </w:r>
    </w:p>
    <w:bookmarkEnd w:id="20"/>
    <w:bookmarkStart w:id="21" w:name="certifications-clearance"/>
    <w:p>
      <w:pPr>
        <w:pStyle w:val="Heading2"/>
      </w:pPr>
      <w:r>
        <w:t xml:space="preserve">CERTIFICATIONS &amp; CLEARANCE</w:t>
      </w:r>
    </w:p>
    <w:p>
      <w:pPr>
        <w:pStyle w:val="Compact"/>
        <w:numPr>
          <w:ilvl w:val="0"/>
          <w:numId w:val="1010"/>
        </w:numPr>
      </w:pPr>
      <w:r>
        <w:t xml:space="preserve">Certified Information Systems Security Professional (CISSP) — (ISC)²</w:t>
      </w:r>
    </w:p>
    <w:p>
      <w:pPr>
        <w:pStyle w:val="Compact"/>
        <w:numPr>
          <w:ilvl w:val="0"/>
          <w:numId w:val="1010"/>
        </w:numPr>
      </w:pPr>
      <w:r>
        <w:t xml:space="preserve">Active DoD Secret Security Clearance, TS-eligible — U.S. Department of Defense</w:t>
      </w:r>
    </w:p>
    <w:bookmarkEnd w:id="21"/>
    <w:bookmarkStart w:id="22" w:name="education"/>
    <w:p>
      <w:pPr>
        <w:pStyle w:val="Heading2"/>
      </w:pPr>
      <w:r>
        <w:t xml:space="preserve">EDUCATION</w:t>
      </w:r>
    </w:p>
    <w:p>
      <w:pPr>
        <w:pStyle w:val="FirstParagraph"/>
      </w:pPr>
      <w:r>
        <w:rPr>
          <w:b/>
          <w:bCs/>
        </w:rPr>
        <w:t xml:space="preserve">State University of New York, Purchase</w:t>
      </w:r>
    </w:p>
    <w:p>
      <w:pPr>
        <w:pStyle w:val="Compact"/>
        <w:numPr>
          <w:ilvl w:val="0"/>
          <w:numId w:val="1011"/>
        </w:numPr>
      </w:pPr>
      <w:r>
        <w:t xml:space="preserve">B.A. Mathematics</w:t>
      </w:r>
    </w:p>
    <w:p>
      <w:pPr>
        <w:pStyle w:val="Compact"/>
        <w:numPr>
          <w:ilvl w:val="0"/>
          <w:numId w:val="1011"/>
        </w:numPr>
      </w:pPr>
      <w:r>
        <w:t xml:space="preserve">B.A. Computer Science</w:t>
      </w:r>
    </w:p>
    <w:p>
      <w:r>
        <w:pict>
          <v:rect style="width:0;height:1.5pt" o:hralign="center" o:hrstd="t" o:hr="t"/>
        </w:pict>
      </w:r>
    </w:p>
    <w:p>
      <w:pPr>
        <w:pStyle w:val="FirstParagraph"/>
      </w:pPr>
      <w:r>
        <w:rPr>
          <w:i/>
          <w:iCs/>
        </w:rPr>
        <w:t xml:space="preserve">Metrics reflect accredited federal engagements. Program names, accreditation dates, and evidence packages are CUI or classified, and available only to appropriately cleared parties through official channels.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2026-09-03T12:06:27Z</dcterms:created>
  <dcterms:modified xsi:type="dcterms:W3CDTF">2026-09-03T12:06:27Z</dcterms:modified>
</cp:coreProperties>
</file>

<file path=docProps/custom.xml><?xml version="1.0" encoding="utf-8"?>
<Properties xmlns="http://schemas.openxmlformats.org/officeDocument/2006/custom-properties" xmlns:vt="http://schemas.openxmlformats.org/officeDocument/2006/docPropsVTypes"/>
</file>