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99.5% Windows STIG compliance, and platforms tested against the IL5 control baseline on AWS GovCloud.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7"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March 2025 – Present</w:t>
      </w:r>
    </w:p>
    <w:p>
      <w:pPr>
        <w:pStyle w:val="Compact"/>
        <w:numPr>
          <w:ilvl w:val="0"/>
          <w:numId w:val="1001"/>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tested against the IL5 control baseline on AWS GovCloud with Llama 4 Maverick.</w:t>
      </w:r>
    </w:p>
    <w:p>
      <w:pPr>
        <w:pStyle w:val="Compact"/>
        <w:numPr>
          <w:ilvl w:val="0"/>
          <w:numId w:val="1001"/>
        </w:numPr>
      </w:pPr>
      <w:r>
        <w:t xml:space="preserve">Built and operate</w:t>
      </w:r>
      <w:r>
        <w:t xml:space="preserve"> </w:t>
      </w:r>
      <w:r>
        <w:rPr>
          <w:b/>
          <w:bCs/>
        </w:rPr>
        <w:t xml:space="preserve">Colophon</w:t>
      </w:r>
      <w:r>
        <w:t xml:space="preserve">, a governed AI software factory (specialist agent bench + Claude Code skills) where every merge clears antagonist peer review and Human CCB under cATO discipline; delivered four federal programs with</w:t>
      </w:r>
      <w:r>
        <w:t xml:space="preserve"> </w:t>
      </w:r>
      <w:r>
        <w:rPr>
          <w:b/>
          <w:bCs/>
        </w:rPr>
        <w:t xml:space="preserve">zero Critical/High/Medium findings</w:t>
      </w:r>
      <w:r>
        <w:t xml:space="preserve"> </w:t>
      </w:r>
      <w:r>
        <w:t xml:space="preserve">(10 Low total).</w:t>
      </w:r>
    </w:p>
    <w:p>
      <w:pPr>
        <w:pStyle w:val="Compact"/>
        <w:numPr>
          <w:ilvl w:val="0"/>
          <w:numId w:val="1001"/>
        </w:numPr>
      </w:pPr>
      <w:r>
        <w:t xml:space="preserve">Deliver the current</w:t>
      </w:r>
      <w:r>
        <w:t xml:space="preserve"> </w:t>
      </w:r>
      <w:r>
        <w:rPr>
          <w:b/>
          <w:bCs/>
        </w:rPr>
        <w:t xml:space="preserve">U.S. Navy and DHA</w:t>
      </w:r>
      <w:r>
        <w:t xml:space="preserve"> </w:t>
      </w:r>
      <w:r>
        <w:t xml:space="preserve">federal AI engagement (first established with mSTAX in 2018), leading all AI strategy, delivery, and engineering.</w:t>
      </w:r>
    </w:p>
    <w:p>
      <w:pPr>
        <w:pStyle w:val="Compact"/>
        <w:numPr>
          <w:ilvl w:val="0"/>
          <w:numId w:val="1001"/>
        </w:numPr>
      </w:pPr>
      <w:r>
        <w:t xml:space="preserve">Deployed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9a49d3b67824d2dde00e36693b35d8bbd949a1b"/>
    <w:p>
      <w:pPr>
        <w:pStyle w:val="Heading3"/>
      </w:pPr>
      <w:r>
        <w:t xml:space="preserve">Senior Director of Product Development — Equifax, Washington, D.C.</w:t>
      </w:r>
    </w:p>
    <w:p>
      <w:pPr>
        <w:pStyle w:val="FirstParagraph"/>
      </w:pPr>
      <w:r>
        <w:rPr>
          <w:b/>
          <w:bCs/>
        </w:rPr>
        <w:t xml:space="preserve">June 2019 – March 2025</w:t>
      </w:r>
    </w:p>
    <w:p>
      <w:pPr>
        <w:pStyle w:val="Compact"/>
        <w:numPr>
          <w:ilvl w:val="0"/>
          <w:numId w:val="1002"/>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2"/>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2"/>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2"/>
        </w:numPr>
      </w:pPr>
      <w:r>
        <w:t xml:space="preserve">Delivered with full FedRAMP and HIPAA compliance under SSA sponsorship, meeting FISMA/NIST controls, while holding SOX and FCRA throughout.</w:t>
      </w:r>
    </w:p>
    <w:p>
      <w:pPr>
        <w:pStyle w:val="Compact"/>
        <w:numPr>
          <w:ilvl w:val="0"/>
          <w:numId w:val="1002"/>
        </w:numPr>
      </w:pPr>
      <w:r>
        <w:t xml:space="preserve">Coordinated rapid disaster-relief data solutions (DSNAP) with the State of Florida during Hurricane Ian, enabling real-time identity/income verification under urgent conditions.</w:t>
      </w:r>
    </w:p>
    <w:bookmarkEnd w:id="11"/>
    <w:bookmarkStart w:id="12" w:name="X90882291ee5b279a02a8697ad670bd95db05e9d"/>
    <w:p>
      <w:pPr>
        <w:pStyle w:val="Heading3"/>
      </w:pPr>
      <w:r>
        <w:t xml:space="preserve">Founder &amp; CTO — Catapult Blockchain, Charleston, SC &amp; Singapore</w:t>
      </w:r>
    </w:p>
    <w:p>
      <w:pPr>
        <w:pStyle w:val="FirstParagraph"/>
      </w:pPr>
      <w:r>
        <w:rPr>
          <w:b/>
          <w:bCs/>
        </w:rPr>
        <w:t xml:space="preserve">July 2017 – Sold to Linxens, June 2019</w:t>
      </w:r>
    </w:p>
    <w:p>
      <w:pPr>
        <w:pStyle w:val="Compact"/>
        <w:numPr>
          <w:ilvl w:val="0"/>
          <w:numId w:val="1003"/>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3"/>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3"/>
        </w:numPr>
      </w:pPr>
      <w:r>
        <w:t xml:space="preserve">Built the Linxens dLoc platform (blockchain + NFC-linked document twins) for tamper-resistant digital documents; deployed containerized microservices across AWS and Azure for cross-cloud identity assurance.</w:t>
      </w:r>
    </w:p>
    <w:bookmarkEnd w:id="12"/>
    <w:bookmarkStart w:id="13" w:name="X91832be423b55600776d4f0e30b376151c8b56c"/>
    <w:p>
      <w:pPr>
        <w:pStyle w:val="Heading3"/>
      </w:pPr>
      <w:r>
        <w:t xml:space="preserve">Chief Engineer — CACI International, Charleston, SC</w:t>
      </w:r>
    </w:p>
    <w:p>
      <w:pPr>
        <w:pStyle w:val="FirstParagraph"/>
      </w:pPr>
      <w:r>
        <w:rPr>
          <w:b/>
          <w:bCs/>
        </w:rPr>
        <w:t xml:space="preserve">March 2016 – June 2017</w:t>
      </w:r>
    </w:p>
    <w:p>
      <w:pPr>
        <w:pStyle w:val="Compact"/>
        <w:numPr>
          <w:ilvl w:val="0"/>
          <w:numId w:val="1004"/>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4"/>
        </w:numPr>
      </w:pPr>
      <w:r>
        <w:t xml:space="preserve">Engineered 50+ secure ingestion pipelines handling terabytes daily in HL7, FHIR, CSV, and OMAP across AWS GovCloud and DoD (.mil) infrastructure, with least-privilege enforcement under RMF and Agile DevSecOps.</w:t>
      </w:r>
    </w:p>
    <w:bookmarkEnd w:id="13"/>
    <w:bookmarkStart w:id="14"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5"/>
        </w:numPr>
      </w:pPr>
      <w:r>
        <w:t xml:space="preserve">Scaled from a single-person operation to a 15-developer, $6.5M/year engineering firm serving federal and commercial clients with cloud-native solutions, culminating in acquisition.</w:t>
      </w:r>
    </w:p>
    <w:p>
      <w:pPr>
        <w:pStyle w:val="Compact"/>
        <w:numPr>
          <w:ilvl w:val="0"/>
          <w:numId w:val="1005"/>
        </w:numPr>
      </w:pPr>
      <w:r>
        <w:t xml:space="preserve">Architected a microservices infrastructure of reusable, modular APIs to accelerate time-to-market and optimize cloud cost and margin.</w:t>
      </w:r>
    </w:p>
    <w:bookmarkEnd w:id="14"/>
    <w:bookmarkStart w:id="15"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6"/>
        </w:numPr>
      </w:pPr>
      <w:r>
        <w:t xml:space="preserve">Led architecture of the SPG mobile platform (iOS, Android, Apple Watch) used by millions; the SPG Watch app was featured during Apple’s 2014 keynote. Designed the first mobile check-in/keyless-room system (BLE/NFC + hybrid cloud).</w:t>
      </w:r>
    </w:p>
    <w:bookmarkEnd w:id="15"/>
    <w:bookmarkStart w:id="16"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7"/>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6"/>
    <w:bookmarkEnd w:id="17"/>
    <w:bookmarkStart w:id="18"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8"/>
    <w:bookmarkStart w:id="19" w:name="certifications-clearance"/>
    <w:p>
      <w:pPr>
        <w:pStyle w:val="Heading2"/>
      </w:pPr>
      <w:r>
        <w:t xml:space="preserve">CERTIFICATIONS &amp; CLEARANCE</w:t>
      </w:r>
    </w:p>
    <w:p>
      <w:pPr>
        <w:pStyle w:val="Compact"/>
        <w:numPr>
          <w:ilvl w:val="0"/>
          <w:numId w:val="1008"/>
        </w:numPr>
      </w:pPr>
      <w:r>
        <w:t xml:space="preserve">Certified Information Systems Security Professional (CISSP) — (ISC)²</w:t>
      </w:r>
    </w:p>
    <w:p>
      <w:pPr>
        <w:pStyle w:val="Compact"/>
        <w:numPr>
          <w:ilvl w:val="0"/>
          <w:numId w:val="1008"/>
        </w:numPr>
      </w:pPr>
      <w:r>
        <w:t xml:space="preserve">Active DoD Secret Security Clearance, TS-eligible — U.S. Department of Defense</w:t>
      </w:r>
    </w:p>
    <w:bookmarkEnd w:id="19"/>
    <w:bookmarkStart w:id="20" w:name="education"/>
    <w:p>
      <w:pPr>
        <w:pStyle w:val="Heading2"/>
      </w:pPr>
      <w:r>
        <w:t xml:space="preserve">EDUCATION</w:t>
      </w:r>
    </w:p>
    <w:p>
      <w:pPr>
        <w:pStyle w:val="FirstParagraph"/>
      </w:pPr>
      <w:r>
        <w:rPr>
          <w:b/>
          <w:bCs/>
        </w:rPr>
        <w:t xml:space="preserve">State University of New York, Purchase</w:t>
      </w:r>
    </w:p>
    <w:p>
      <w:pPr>
        <w:pStyle w:val="Compact"/>
        <w:numPr>
          <w:ilvl w:val="0"/>
          <w:numId w:val="1009"/>
        </w:numPr>
      </w:pPr>
      <w:r>
        <w:t xml:space="preserve">B.A. Mathematics</w:t>
      </w:r>
    </w:p>
    <w:p>
      <w:pPr>
        <w:pStyle w:val="Compact"/>
        <w:numPr>
          <w:ilvl w:val="0"/>
          <w:numId w:val="1009"/>
        </w:numPr>
      </w:pPr>
      <w:r>
        <w:t xml:space="preserve">B.A. Computer Science</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2026-08-10T11:20:38Z</dcterms:created>
  <dcterms:modified xsi:type="dcterms:W3CDTF">2026-08-10T11:20:38Z</dcterms:modified>
</cp:coreProperties>
</file>

<file path=docProps/custom.xml><?xml version="1.0" encoding="utf-8"?>
<Properties xmlns="http://schemas.openxmlformats.org/officeDocument/2006/custom-properties" xmlns:vt="http://schemas.openxmlformats.org/officeDocument/2006/docPropsVTypes"/>
</file>