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99.5% Windows STIG compliance, and platforms tested against the IL5 control baseline on AWS GovCloud.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fff62b5a5e8cf320042d37b63029314626b2358"/>
    <w:p>
      <w:pPr>
        <w:pStyle w:val="Heading3"/>
      </w:pPr>
      <w:r>
        <w:t xml:space="preserve">Chief Information Officer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2026-08-10T14:09:28Z</dcterms:created>
  <dcterms:modified xsi:type="dcterms:W3CDTF">2026-08-10T14:09:28Z</dcterms:modified>
</cp:coreProperties>
</file>

<file path=docProps/custom.xml><?xml version="1.0" encoding="utf-8"?>
<Properties xmlns="http://schemas.openxmlformats.org/officeDocument/2006/custom-properties" xmlns:vt="http://schemas.openxmlformats.org/officeDocument/2006/docPropsVTypes"/>
</file>