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99.6% (246 of 247) of the Windows Server 2022 STIG passing, AMI-hardened and STIG Viewer-verified, and platforms tested against the IL5 control baseline on AWS GovCloud. Five production DHA healthcare workloads were hardened to near-zero CVE on RHEL UBI 9 Minimal at a 93.2% STIG-checklist auto-pass rate (verified in STIG Viewer via Semgrep, Gitleaks, Trivy, and StackRox); the remaining checks were handled manually to protect OS and application stability. The delivery methodology was adopted program-wide by DHA Cyber Command in 2025-2026 and earned a PI Award. Trusted by the DoD, DHA, SSA, and CMS, and by global financial institutions, to architect systems that move billions in transactions, The Work Number among them, and survive the audit afterward. CISSP; active DoD Secret clearance, TS-eligible.</w:t>
      </w:r>
    </w:p>
    <w:p>
      <w:r>
        <w:pict>
          <v:rect style="width:0;height:1.5pt" o:hralign="center" o:hrstd="t" o:hr="t"/>
        </w:pict>
      </w:r>
    </w:p>
    <w:bookmarkEnd w:id="9"/>
    <w:bookmarkStart w:id="19" w:name="professional-experience"/>
    <w:p>
      <w:pPr>
        <w:pStyle w:val="Heading2"/>
      </w:pPr>
      <w:r>
        <w:t xml:space="preserve">PROFESSIONAL EXPERIENCE</w:t>
      </w:r>
    </w:p>
    <w:bookmarkStart w:id="10" w:name="Xa7a262c44fde4cba61fd900bad0a2d8cc250b08"/>
    <w:p>
      <w:pPr>
        <w:pStyle w:val="Heading3"/>
      </w:pPr>
      <w:r>
        <w:t xml:space="preserve">Chief AI Officer — Pacific Technologies and Solutions, Charleston, SC</w:t>
      </w:r>
    </w:p>
    <w:p>
      <w:pPr>
        <w:pStyle w:val="FirstParagraph"/>
      </w:pPr>
      <w:r>
        <w:rPr>
          <w:b/>
          <w:bCs/>
        </w:rPr>
        <w:t xml:space="preserve">September 2026 – Present</w:t>
      </w:r>
    </w:p>
    <w:p>
      <w:pPr>
        <w:pStyle w:val="Compact"/>
        <w:numPr>
          <w:ilvl w:val="0"/>
          <w:numId w:val="1001"/>
        </w:numPr>
      </w:pPr>
      <w:r>
        <w:t xml:space="preserve">Own all technology and AI responsibility across the company: technology strategy, AI strategy, delivery, and engineering, plus the technical shape of new federal pursuits.</w:t>
      </w:r>
    </w:p>
    <w:p>
      <w:pPr>
        <w:pStyle w:val="Compact"/>
        <w:numPr>
          <w:ilvl w:val="0"/>
          <w:numId w:val="1001"/>
        </w:numPr>
      </w:pPr>
      <w:r>
        <w:t xml:space="preserve">Pacific Technologies and Solutions is an SBA-certified 8(a) Native Hawaiian Organization delivering program and contract management, high-end systems integration, and logistics to federal customers in remote and hard-to-reach locations worldwide.</w:t>
      </w:r>
    </w:p>
    <w:p>
      <w:pPr>
        <w:pStyle w:val="Compact"/>
        <w:numPr>
          <w:ilvl w:val="0"/>
          <w:numId w:val="1001"/>
        </w:numPr>
      </w:pPr>
      <w:r>
        <w:t xml:space="preserve">Standing up the governed AI delivery capability, carrying forward the agent bench, antagonist review, and cATO discipline proven on prior federal programs.</w:t>
      </w:r>
    </w:p>
    <w:bookmarkEnd w:id="10"/>
    <w:bookmarkStart w:id="11" w:name="Xdc0d199adf4412444e3c5366da6a1e26c9aa70e"/>
    <w:p>
      <w:pPr>
        <w:pStyle w:val="Heading3"/>
      </w:pPr>
      <w:r>
        <w:t xml:space="preserve">Chief AI Officer — Accelera Solutions, Charleston, SC</w:t>
      </w:r>
    </w:p>
    <w:p>
      <w:pPr>
        <w:pStyle w:val="FirstParagraph"/>
      </w:pPr>
      <w:r>
        <w:rPr>
          <w:b/>
          <w:bCs/>
        </w:rPr>
        <w:t xml:space="preserve">May 2026 – September 2026</w:t>
      </w:r>
    </w:p>
    <w:p>
      <w:pPr>
        <w:pStyle w:val="Compact"/>
        <w:numPr>
          <w:ilvl w:val="0"/>
          <w:numId w:val="1002"/>
        </w:numPr>
      </w:pPr>
      <w:r>
        <w:t xml:space="preserve">Owned all AI strategy, delivery, and engineering across the organization,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w:t>
      </w:r>
      <w:r>
        <w:t xml:space="preserve"> </w:t>
      </w:r>
      <w:r>
        <w:rPr>
          <w:b/>
          <w:bCs/>
        </w:rPr>
        <w:t xml:space="preserve">U.S. Navy and DHA</w:t>
      </w:r>
      <w:r>
        <w:t xml:space="preserve"> </w:t>
      </w:r>
      <w:r>
        <w:t xml:space="preserve">federal AI engagement, first established with mSTAX in 2018.</w:t>
      </w:r>
    </w:p>
    <w:p>
      <w:pPr>
        <w:pStyle w:val="Compact"/>
        <w:numPr>
          <w:ilvl w:val="0"/>
          <w:numId w:val="1002"/>
        </w:numPr>
      </w:pPr>
      <w:r>
        <w:t xml:space="preserve">Deployed AI/ML services within secure DHA enclaves using Llama 4, Llama Vision, Ollama, and Mistral, integrated with PostgreSQL, MongoDB, and CosmosDB for decisioning and inference pipelines.</w:t>
      </w:r>
    </w:p>
    <w:p>
      <w:pPr>
        <w:pStyle w:val="Compact"/>
        <w:numPr>
          <w:ilvl w:val="0"/>
          <w:numId w:val="1002"/>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2"/>
        </w:numPr>
      </w:pPr>
      <w:r>
        <w:t xml:space="preserve">Built a User Authorization service atop DoD federated identity (iAS, DS Logon), extending OAuth roles per application for fine-grained access control in mission-critical workflows.</w:t>
      </w:r>
    </w:p>
    <w:bookmarkEnd w:id="11"/>
    <w:bookmarkStart w:id="12" w:name="founder-sigilark-charleston-sc"/>
    <w:p>
      <w:pPr>
        <w:pStyle w:val="Heading3"/>
      </w:pPr>
      <w:r>
        <w:t xml:space="preserve">Founder — SigilArk, Charleston, SC</w:t>
      </w:r>
    </w:p>
    <w:p>
      <w:pPr>
        <w:pStyle w:val="FirstParagraph"/>
      </w:pPr>
      <w:r>
        <w:rPr>
          <w:b/>
          <w:bCs/>
        </w:rPr>
        <w:t xml:space="preserve">May 2025 – Present</w:t>
      </w:r>
    </w:p>
    <w:p>
      <w:pPr>
        <w:pStyle w:val="Compact"/>
        <w:numPr>
          <w:ilvl w:val="0"/>
          <w:numId w:val="1003"/>
        </w:numPr>
      </w:pPr>
      <w:r>
        <w:t xml:space="preserve">Led the development work for</w:t>
      </w:r>
      <w:r>
        <w:t xml:space="preserve"> </w:t>
      </w:r>
      <w:r>
        <w:rPr>
          <w:b/>
          <w:bCs/>
        </w:rPr>
        <w:t xml:space="preserve">DHA’s agency-wide EMPIRE software factory</w:t>
      </w:r>
      <w:r>
        <w:t xml:space="preserve">, delivering the governed AI delivery capability now in production across the agency. The delivery methodology was adopted program-wide by DHA Cyber Command and earned a PI Award.</w:t>
      </w:r>
    </w:p>
    <w:p>
      <w:pPr>
        <w:pStyle w:val="Compact"/>
        <w:numPr>
          <w:ilvl w:val="0"/>
          <w:numId w:val="1003"/>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3"/>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3"/>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2"/>
    <w:bookmarkStart w:id="13"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4"/>
        </w:numPr>
      </w:pPr>
      <w:r>
        <w:t xml:space="preserve">Directed development of a secure Income and Identity Verification platform for Equifax Government Services, delivering Web and API services to state and federal agencies (CMS, SSA); The Work Number peaked above 10M daily transactions, and the platform carried $1.7B+ in cumulative program revenue across 2019-2025.</w:t>
      </w:r>
    </w:p>
    <w:p>
      <w:pPr>
        <w:pStyle w:val="Compact"/>
        <w:numPr>
          <w:ilvl w:val="0"/>
          <w:numId w:val="1004"/>
        </w:numPr>
      </w:pPr>
      <w:r>
        <w:t xml:space="preserve">Directed product and sold on the ground, launching several new products that expanded penetration into the social-services agencies of</w:t>
      </w:r>
      <w:r>
        <w:t xml:space="preserve"> </w:t>
      </w:r>
      <w:r>
        <w:rPr>
          <w:b/>
          <w:bCs/>
        </w:rPr>
        <w:t xml:space="preserve">39 states</w:t>
      </w:r>
      <w:r>
        <w:t xml:space="preserve"> </w:t>
      </w:r>
      <w:r>
        <w:t xml:space="preserve">and the federal government.</w:t>
      </w:r>
    </w:p>
    <w:p>
      <w:pPr>
        <w:pStyle w:val="Compact"/>
        <w:numPr>
          <w:ilvl w:val="0"/>
          <w:numId w:val="1004"/>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4"/>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4"/>
        </w:numPr>
      </w:pPr>
      <w:r>
        <w:t xml:space="preserve">Delivered with full FedRAMP and HIPAA compliance under SSA sponsorship, meeting FISMA/NIST controls, while holding SOX and FCRA throughout.</w:t>
      </w:r>
    </w:p>
    <w:p>
      <w:pPr>
        <w:pStyle w:val="Compact"/>
        <w:numPr>
          <w:ilvl w:val="0"/>
          <w:numId w:val="1004"/>
        </w:numPr>
      </w:pPr>
      <w:r>
        <w:t xml:space="preserve">Coordinated rapid disaster-relief data solutions (DSNAP) with the State of Florida during Hurricane Ian, enabling real-time identity/income verification under urgent conditions.</w:t>
      </w:r>
    </w:p>
    <w:bookmarkEnd w:id="13"/>
    <w:bookmarkStart w:id="14" w:name="X3337d788d831db50ecb08c21f4c57a217177c33"/>
    <w:p>
      <w:pPr>
        <w:pStyle w:val="Heading3"/>
      </w:pPr>
      <w:r>
        <w:t xml:space="preserve">Founder &amp; CIO — Catapult.io (Singapore), Charleston, SC &amp; Singapore</w:t>
      </w:r>
    </w:p>
    <w:p>
      <w:pPr>
        <w:pStyle w:val="FirstParagraph"/>
      </w:pPr>
      <w:r>
        <w:rPr>
          <w:b/>
          <w:bCs/>
        </w:rPr>
        <w:t xml:space="preserve">July 2017 – Acquired, June 2019</w:t>
      </w:r>
    </w:p>
    <w:p>
      <w:pPr>
        <w:pStyle w:val="Compact"/>
        <w:numPr>
          <w:ilvl w:val="0"/>
          <w:numId w:val="1005"/>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5"/>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5"/>
        </w:numPr>
      </w:pPr>
      <w:r>
        <w:t xml:space="preserve">Built the Linxens dLoc platform (blockchain + NFC-linked document twins) for tamper-resistant digital documents; deployed containerized microservices across AWS and Azure for cross-cloud identity assurance.</w:t>
      </w:r>
    </w:p>
    <w:bookmarkEnd w:id="14"/>
    <w:bookmarkStart w:id="15"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6"/>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6"/>
        </w:numPr>
      </w:pPr>
      <w:r>
        <w:t xml:space="preserve">Engineered 50+ secure ingestion pipelines handling terabytes daily in HL7, FHIR, CSV, and OMAP across AWS GovCloud and DoD (.mil) infrastructure, with least-privilege enforcement under RMF and Agile DevSecOps.</w:t>
      </w:r>
    </w:p>
    <w:bookmarkEnd w:id="15"/>
    <w:bookmarkStart w:id="16" w:name="Xee46ddbdda7617c09a79714ecf6a51a7517866e"/>
    <w:p>
      <w:pPr>
        <w:pStyle w:val="Heading3"/>
      </w:pPr>
      <w:r>
        <w:t xml:space="preserve">Founder &amp; CTO — Qonceptual, Inc., Charleston, SC</w:t>
      </w:r>
    </w:p>
    <w:p>
      <w:pPr>
        <w:pStyle w:val="FirstParagraph"/>
      </w:pPr>
      <w:r>
        <w:rPr>
          <w:b/>
          <w:bCs/>
        </w:rPr>
        <w:t xml:space="preserve">April 2013 – Sold, December 2016</w:t>
      </w:r>
      <w:r>
        <w:t xml:space="preserve"> </w:t>
      </w:r>
      <w:r>
        <w:t xml:space="preserve">(founded April 2013; full-time from June 2014)</w:t>
      </w:r>
    </w:p>
    <w:p>
      <w:pPr>
        <w:pStyle w:val="Compact"/>
        <w:numPr>
          <w:ilvl w:val="0"/>
          <w:numId w:val="1007"/>
        </w:numPr>
      </w:pPr>
      <w:r>
        <w:t xml:space="preserve">Scaled from a single-person operation to a 15-developer, $6.5M/year engineering firm serving federal and commercial clients with cloud-native solutions, culminating in acquisition.</w:t>
      </w:r>
    </w:p>
    <w:p>
      <w:pPr>
        <w:pStyle w:val="Compact"/>
        <w:numPr>
          <w:ilvl w:val="0"/>
          <w:numId w:val="1007"/>
        </w:numPr>
      </w:pPr>
      <w:r>
        <w:t xml:space="preserve">Architected a microservices infrastructure of reusable, modular APIs to accelerate time-to-market and optimize cloud cost and margin.</w:t>
      </w:r>
    </w:p>
    <w:bookmarkEnd w:id="16"/>
    <w:bookmarkStart w:id="17"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8"/>
        </w:numPr>
      </w:pPr>
      <w:r>
        <w:t xml:space="preserve">Led architecture of the SPG mobile platform (iOS, Android, Apple Watch) used by millions; the SPG Watch app was featured during Apple’s 2014 keynote. Designed the first mobile check-in/keyless-room system (BLE/NFC + hybrid cloud).</w:t>
      </w:r>
    </w:p>
    <w:bookmarkEnd w:id="17"/>
    <w:bookmarkStart w:id="18" w:name="X0bc7b23fad1d04a07c4295e934e3e43faca201e"/>
    <w:p>
      <w:pPr>
        <w:pStyle w:val="Heading3"/>
      </w:pPr>
      <w:r>
        <w:t xml:space="preserve">Senior Director of Software Engineering — Booz Allen Hamilton, Charleston, SC</w:t>
      </w:r>
    </w:p>
    <w:p>
      <w:pPr>
        <w:pStyle w:val="FirstParagraph"/>
      </w:pPr>
      <w:r>
        <w:rPr>
          <w:b/>
          <w:bCs/>
        </w:rPr>
        <w:t xml:space="preserve">February 2011 – July 2013</w:t>
      </w:r>
    </w:p>
    <w:p>
      <w:pPr>
        <w:pStyle w:val="Compact"/>
        <w:numPr>
          <w:ilvl w:val="0"/>
          <w:numId w:val="1009"/>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8"/>
    <w:bookmarkEnd w:id="19"/>
    <w:bookmarkStart w:id="20"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20"/>
    <w:bookmarkStart w:id="21" w:name="certifications-clearance"/>
    <w:p>
      <w:pPr>
        <w:pStyle w:val="Heading2"/>
      </w:pPr>
      <w:r>
        <w:t xml:space="preserve">CERTIFICATIONS &amp; CLEARANCE</w:t>
      </w:r>
    </w:p>
    <w:p>
      <w:pPr>
        <w:pStyle w:val="Compact"/>
        <w:numPr>
          <w:ilvl w:val="0"/>
          <w:numId w:val="1010"/>
        </w:numPr>
      </w:pPr>
      <w:r>
        <w:t xml:space="preserve">Certified Information Systems Security Professional (CISSP) — (ISC)²</w:t>
      </w:r>
    </w:p>
    <w:p>
      <w:pPr>
        <w:pStyle w:val="Compact"/>
        <w:numPr>
          <w:ilvl w:val="0"/>
          <w:numId w:val="1010"/>
        </w:numPr>
      </w:pPr>
      <w:r>
        <w:t xml:space="preserve">Active DoD Secret Security Clearance, TS-eligible — U.S. Department of Defense</w:t>
      </w:r>
    </w:p>
    <w:bookmarkEnd w:id="21"/>
    <w:bookmarkStart w:id="22" w:name="education"/>
    <w:p>
      <w:pPr>
        <w:pStyle w:val="Heading2"/>
      </w:pPr>
      <w:r>
        <w:t xml:space="preserve">EDUCATION</w:t>
      </w:r>
    </w:p>
    <w:p>
      <w:pPr>
        <w:pStyle w:val="FirstParagraph"/>
      </w:pPr>
      <w:r>
        <w:rPr>
          <w:b/>
          <w:bCs/>
        </w:rPr>
        <w:t xml:space="preserve">State University of New York, Purchase</w:t>
      </w:r>
    </w:p>
    <w:p>
      <w:pPr>
        <w:pStyle w:val="Compact"/>
        <w:numPr>
          <w:ilvl w:val="0"/>
          <w:numId w:val="1011"/>
        </w:numPr>
      </w:pPr>
      <w:r>
        <w:t xml:space="preserve">B.A. Mathematics</w:t>
      </w:r>
    </w:p>
    <w:p>
      <w:pPr>
        <w:pStyle w:val="Compact"/>
        <w:numPr>
          <w:ilvl w:val="0"/>
          <w:numId w:val="1011"/>
        </w:numPr>
      </w:pPr>
      <w:r>
        <w:t xml:space="preserve">B.A. Computer Science</w:t>
      </w:r>
    </w:p>
    <w:p>
      <w:r>
        <w:pict>
          <v:rect style="width:0;height:1.5pt" o:hralign="center" o:hrstd="t" o:hr="t"/>
        </w:pict>
      </w:r>
    </w:p>
    <w:p>
      <w:pPr>
        <w:pStyle w:val="FirstParagraph"/>
      </w:pPr>
      <w:r>
        <w:rPr>
          <w:i/>
          <w:iCs/>
        </w:rPr>
        <w:t xml:space="preserve">Metrics reflect accredited federal engagements. Program names, accreditation dates, and evidence packages are CUI or classified, and available only to appropriately cleared parties through official channels.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2026-09-03T12:16:02Z</dcterms:created>
  <dcterms:modified xsi:type="dcterms:W3CDTF">2026-09-03T12:16:02Z</dcterms:modified>
</cp:coreProperties>
</file>

<file path=docProps/custom.xml><?xml version="1.0" encoding="utf-8"?>
<Properties xmlns="http://schemas.openxmlformats.org/officeDocument/2006/custom-properties" xmlns:vt="http://schemas.openxmlformats.org/officeDocument/2006/docPropsVTypes"/>
</file>