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99.5% compliance against the 247-control Windows Server 2022 STIG, and platforms tested against the IL5 control baseline on AWS GovCloud. Five production DHA healthcare workloads were hardened to near-zero CVE on RHEL UBI 9 Minimal at a 93.2 composite across Semgrep, Gitleaks, Trivy, and StackRox.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2026-08-10T14:56:04Z</dcterms:created>
  <dcterms:modified xsi:type="dcterms:W3CDTF">2026-08-10T14:56:04Z</dcterms:modified>
</cp:coreProperties>
</file>

<file path=docProps/custom.xml><?xml version="1.0" encoding="utf-8"?>
<Properties xmlns="http://schemas.openxmlformats.org/officeDocument/2006/custom-properties" xmlns:vt="http://schemas.openxmlformats.org/officeDocument/2006/docPropsVTypes"/>
</file>