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Ten Thousand Hours</w:t>
      </w:r>
    </w:p>
    <w:p>
      <w:pPr>
        <w:spacing w:after="280"/>
      </w:pPr>
      <w:r>
        <w:rPr>
          <w:rFonts w:ascii="Calibri" w:cs="Calibri" w:eastAsia="Calibri" w:hAnsi="Calibri"/>
          <w:color w:val="6E675C"/>
          <w:sz w:val="24"/>
          <w:szCs w:val="24"/>
        </w:rPr>
        <w:t xml:space="preserve">Every word on every slide — fill in the right-hand column and send it 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Only edit the right-hand column. </w:t>
      </w:r>
      <w:r>
        <w:rPr>
          <w:rFonts w:ascii="Calibri" w:cs="Calibri" w:eastAsia="Calibri" w:hAnsi="Calibri"/>
          <w:sz w:val="22"/>
          <w:szCs w:val="22"/>
        </w:rPr>
        <w:t xml:space="preserve">The shaded labels on the left are how I know where each line goes.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Italics: </w:t>
      </w:r>
      <w:r>
        <w:rPr>
          <w:rFonts w:ascii="Calibri" w:cs="Calibri" w:eastAsia="Calibri" w:hAnsi="Calibri"/>
          <w:sz w:val="22"/>
          <w:szCs w:val="22"/>
        </w:rPr>
        <w:t xml:space="preserve">select words and press Cmd+I (Ctrl+I on Windows). They show in italic — green on most slides.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Yellow text </w:t>
      </w:r>
      <w:r>
        <w:rPr>
          <w:rFonts w:ascii="Calibri" w:cs="Calibri" w:eastAsia="Calibri" w:hAnsi="Calibri"/>
          <w:sz w:val="22"/>
          <w:szCs w:val="22"/>
        </w:rPr>
        <w:t xml:space="preserve">is a blank, like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[FILL IN: name]</w:t>
      </w:r>
      <w:r>
        <w:rPr>
          <w:rFonts w:ascii="Calibri" w:cs="Calibri" w:eastAsia="Calibri" w:hAnsi="Calibri"/>
          <w:sz w:val="22"/>
          <w:szCs w:val="22"/>
        </w:rPr>
        <w:t xml:space="preserve">. Replace the whole 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More or fewer photos, stops, questions or costs? </w:t>
      </w:r>
      <w:r>
        <w:rPr>
          <w:rFonts w:ascii="Calibri" w:cs="Calibri" w:eastAsia="Calibri" w:hAnsi="Calibri"/>
          <w:sz w:val="22"/>
          <w:szCs w:val="22"/>
        </w:rPr>
        <w:t xml:space="preserve">Add or delete table rows and I will rework the layout.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Slide numbers </w:t>
      </w:r>
      <w:r>
        <w:rPr>
          <w:rFonts w:ascii="Calibri" w:cs="Calibri" w:eastAsia="Calibri" w:hAnsi="Calibri"/>
          <w:sz w:val="22"/>
          <w:szCs w:val="22"/>
        </w:rPr>
        <w:t xml:space="preserve">match the counter in the bottom-left corner of the site.</w:t>
      </w:r>
    </w:p>
    <w:p>
      <w:pPr>
        <w:pStyle w:val="Heading2"/>
      </w:pPr>
      <w:r>
        <w:t xml:space="preserve">On every slide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Title at the top of the first and last slide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 Thousand Hours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Presenter(s)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Presenter name(s)]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Class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Class / course]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MMXXVI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Scroll prompt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Scroll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Word above each chapter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Chapter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Running-hours label (right edge)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Hours</w:t>
            </w:r>
          </w:p>
        </w:tc>
      </w:tr>
    </w:tbl>
    <w:p>
      <w:pPr>
        <w:pStyle w:val="Heading2"/>
      </w:pPr>
      <w:r>
        <w:t xml:space="preserve">Slide 01 — Opening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Top right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presentation on mastery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Big number (counts up to)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10,000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Under the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hours to master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the most quoted number in self-improvement. It is also not what the research said.</w:t>
            </w:r>
          </w:p>
        </w:tc>
      </w:tr>
    </w:tbl>
    <w:p>
      <w:pPr>
        <w:pStyle w:val="Heading2"/>
      </w:pPr>
      <w:r>
        <w:t xml:space="preserve">Slide 02 — Chapter I: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Master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person who did the hours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The list beside it shows all four chapter titles automatically.</w:t>
      </w:r>
    </w:p>
    <w:p>
      <w:pPr>
        <w:pStyle w:val="Heading2"/>
      </w:pPr>
      <w:r>
        <w:t xml:space="preserve">Slide 03 — Meet Cole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Exhibit the First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Cole — full name]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Instrument (italic, after the name)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flute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Photograph of Cole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Fact 1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Started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Fact 1 value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age /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Fact 2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Years in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Fact 2 value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e.g. 11]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Fact 3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Est. hours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Fact 3 value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e.g. 4,000]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Quote under the facts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 did not set out to do ten thousand hours. Nobody does. They just keep showing up.</w:t>
            </w:r>
          </w:p>
        </w:tc>
      </w:tr>
    </w:tbl>
    <w:p>
      <w:pPr>
        <w:pStyle w:val="Heading2"/>
      </w:pPr>
      <w:r>
        <w:t xml:space="preserve">Slide 04 — The origin story (photo wall)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Archival footage, absent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origin story we do not have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 has no video of the first time she picked up a flute. So this is a dramatization.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1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Child, age seven, discovering woodwind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1 type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Stock photograph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1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Dramatization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2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Not Cole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2 type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Stock photograph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2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Licensed, 2019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3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different child entirely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3 type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Stock photograph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3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Also licensed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4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Woman, thirties, portraying “mother”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4 type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Paid actor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4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Day rate undisclosed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5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Also not Cole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5 type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Stock photograph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5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 checked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6 caption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Flute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6 type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Object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Photo 6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Verified accurate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Disclaimer under the wall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footage of young Cole exists. These children are not Cole. They are not related to Cole. We are legally required to say that.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“Plate I, II…” numbers are added automatically. The last photo is the flute punchline.</w:t>
      </w:r>
    </w:p>
    <w:p>
      <w:pPr>
        <w:pStyle w:val="Heading2"/>
      </w:pPr>
      <w:r>
        <w:t xml:space="preserve">Slide 05 — Cole’s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record, as kept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the hours looked like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Counter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Hours accumulated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1 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1 hours (number)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1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First lesson]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1 one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One line about it.]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2 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2 hours (number)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2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Joined band]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2 one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One line about it.]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3 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3 hours (number)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900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3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First solo]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3 one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One line about it.]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4 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4 hours (number)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4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First audition]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4 one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One line about it.]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5 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5 hours (number)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5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Milestone]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5 one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One line about it.]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6 year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year]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6 hours (number)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4200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6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Where she is now]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Stop 6 one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One line about it.]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The counter climbs as you scroll and ends on the last stop’s hours — that should be Cole’s total.</w:t>
      </w:r>
    </w:p>
    <w:p>
      <w:pPr>
        <w:pStyle w:val="Heading2"/>
      </w:pPr>
      <w:r>
        <w:t xml:space="preserve">Slide 06 — Big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1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Before we get to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2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Cole learned,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3 (green italic)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 need to talk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4 (green italic)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about a number.</w:t>
            </w:r>
          </w:p>
        </w:tc>
      </w:tr>
    </w:tbl>
    <w:p>
      <w:pPr>
        <w:pStyle w:val="Heading2"/>
      </w:pPr>
      <w:r>
        <w:t xml:space="preserve">Slide 07 — Chapter II: The Number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II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Number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10,000 came from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The list beside it shows all four chapter titles automatically.</w:t>
      </w:r>
    </w:p>
    <w:p>
      <w:pPr>
        <w:pStyle w:val="Heading2"/>
      </w:pPr>
      <w:r>
        <w:t xml:space="preserve">Slide 08 — The 10,000-hour claim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Source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Malcolm Gladwell, Outliers, 2008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Big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10,000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magic number of greatness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Body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Study the Beatles, Bill Gates, elite violinists — and you find the same figure. Roughly ten thousand hours of practice separates the great from everyone else.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Footnote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the version everybody remembers.</w:t>
            </w:r>
          </w:p>
        </w:tc>
      </w:tr>
    </w:tbl>
    <w:p>
      <w:pPr>
        <w:pStyle w:val="Heading2"/>
      </w:pPr>
      <w:r>
        <w:t xml:space="preserve">Slide 09 — The correction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Source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Anders Ericsson — the researcher Gladwell cited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Crossed-out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 thousand hours of practice.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Replacement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 thousand hours of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deliberate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practice.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Body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Ericsson spent years objecting to the popular version. The hours were never the mechanism. What mattered was practice designed to fix what you are bad at — with feedback, at the edge of your ability.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Pull quote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number is a container. It says nothing about what you put in it.</w:t>
            </w:r>
          </w:p>
        </w:tc>
      </w:tr>
    </w:tbl>
    <w:p>
      <w:pPr>
        <w:pStyle w:val="Heading2"/>
      </w:pPr>
      <w:r>
        <w:t xml:space="preserve">Slide 10 — Meet Tyler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Exhibit the Second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Tyler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Game (under the name)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Rainbow Six Siege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Big number (counts up to)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2,500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Word after the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hours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Punchline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Twenty-five percent of the way to mastery. Zero percent of the way to good.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Rank box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rank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Rank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actual rank]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Tyler's exact quote — the “still trash” line, verbatim]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The quote is signed with his name automatically.</w:t>
      </w:r>
    </w:p>
    <w:p>
      <w:pPr>
        <w:pStyle w:val="Heading2"/>
      </w:pPr>
      <w:r>
        <w:t xml:space="preserve">Slide 11 — Big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1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why is Tyler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2 (green italic)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still bad at Siege?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Small print underneath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has the hours. He does not have the thing the hours were supposed to contain.</w:t>
            </w:r>
          </w:p>
        </w:tc>
      </w:tr>
    </w:tbl>
    <w:p>
      <w:pPr>
        <w:pStyle w:val="Heading2"/>
      </w:pPr>
      <w:r>
        <w:t xml:space="preserve">Slide 12 — Chapter III: The Separator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III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Separator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 the same hours diverge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The list beside it shows all four chapter titles automatically.</w:t>
      </w:r>
    </w:p>
    <w:p>
      <w:pPr>
        <w:pStyle w:val="Heading2"/>
      </w:pPr>
      <w:r>
        <w:t xml:space="preserve">Slide 13 — The graph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Plate III — the whole argument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Same hours.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Different curves.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Legend 1 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Casual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Legend 1 quote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"I might as well."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Legend 2 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Obsessed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Legend 2 quote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"What else is there?"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Dot 1 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Tyler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Dot 1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2,500 hrs · plateaued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Dot 2 name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Dot 2 note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still climbing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on the gap between the lines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gap is the presentation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Bottom axis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Hours invested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Side axis label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Actual skill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under the graph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Both of them showed up. Only one of them was practising.</w:t>
            </w:r>
          </w:p>
        </w:tc>
      </w:tr>
    </w:tbl>
    <w:p>
      <w:pPr>
        <w:pStyle w:val="Heading2"/>
      </w:pPr>
      <w:r>
        <w:t xml:space="preserve">Slide 14 — The question spiral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Marginalia — what obsession sounds like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obsessed player does not just play more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interrogate everything. It starts reasonable.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1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Which strategies actually work?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2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Which ones only look like they work?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3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are the optimal peek angles?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4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Which movement tech makes me harder to hit?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5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 I holding the wrong angles on defense?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6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my sensitivity costing me flicks?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7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my mouse polling rate too low?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8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my monitor adding input lag?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9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temperature should my room be to lock in?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10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 I playing worse after 9pm?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11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far am I from the nearest server?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Question 12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Should I move house for better ping?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under the final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that is the one that gives it away.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Question 12 is the punchline — it ends up alone on screen.</w:t>
      </w:r>
    </w:p>
    <w:p>
      <w:pPr>
        <w:pStyle w:val="Heading2"/>
      </w:pPr>
      <w:r>
        <w:t xml:space="preserve">Slide 15 — The catch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above 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Outliers — the part nobody quotes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Headline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 question has an answer. The answers cost money.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1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better monitor?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1 price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cost]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2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coach who reviews VOD?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2 price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cost]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3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Move closer to a server?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3 price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cost]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4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flute that stays in tune?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4 price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cost]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5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teacher, once a week, for eleven years?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5 price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cost]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6 question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Someone free to drive you there?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Cost 6 price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Priceless / unbuyable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Paragraph beside the costs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Gladwell’s real argument was never about effort. It was about access — being born at the right time, near the right people, with the right door unlocked.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Example 1 who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Bill Gates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Example 1 what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school with a computer terminal in 1968 — almost nobody had one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Example 2 who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Beatles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Example 2 what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Hamburg: eight hours a night, seven nights a week, for two years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Closing line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Obsession is the separator.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Resources are the ceiling.</w:t>
            </w:r>
          </w:p>
        </w:tc>
      </w:tr>
    </w:tbl>
    <w:p>
      <w:pPr>
        <w:pStyle w:val="Heading2"/>
      </w:pPr>
      <w:r>
        <w:t xml:space="preserve">Slide 16 — Chapter IV: The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number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IV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Content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Chapter subtitle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actually filled them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E675C"/>
          <w:sz w:val="18"/>
          <w:szCs w:val="18"/>
        </w:rPr>
        <w:t xml:space="preserve">The list beside it shows all four chapter titles automatically.</w:t>
      </w:r>
    </w:p>
    <w:p>
      <w:pPr>
        <w:pStyle w:val="Heading2"/>
      </w:pPr>
      <w:r>
        <w:t xml:space="preserve">Slide 17 — Cole’s takeaway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Label at the top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Back to Cole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Lead-in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we asked her what all that time actually taught her.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Cole’s quote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Cole's takeaway — what she learned about learning. This is the line the whole deck lands on.]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Signed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  <w:highlight w:val="yellow"/>
                <w:highlightCs w:val="yellow"/>
              </w:rPr>
              <w:t xml:space="preserve">[FILL IN: Cole — full name]</w:t>
            </w:r>
          </w:p>
        </w:tc>
      </w:tr>
    </w:tbl>
    <w:p>
      <w:pPr>
        <w:pStyle w:val="Heading2"/>
      </w:pPr>
      <w:r>
        <w:t xml:space="preserve">Slide 18 — Closing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260"/>
      </w:tblGrid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1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Hours are the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2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container.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shd w:fill="F3EF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color w:val="6E675C"/>
                <w:sz w:val="18"/>
                <w:szCs w:val="18"/>
              </w:rPr>
              <w:t xml:space="preserve">Line 3 (green italic)</w:t>
            </w:r>
          </w:p>
        </w:tc>
        <w:tc>
          <w:tcPr>
            <w:tcW w:type="dxa" w:w="6260"/>
            <w:tcBorders>
              <w:top w:val="single" w:color="D8D0C2" w:sz="4"/>
              <w:left w:val="single" w:color="D8D0C2" w:sz="4"/>
              <w:bottom w:val="single" w:color="D8D0C2" w:sz="4"/>
              <w:right w:val="single" w:color="D8D0C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choose the content.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75C"/>
        <w:sz w:val="16"/>
        <w:szCs w:val="16"/>
      </w:rPr>
      <w:t xml:space="preserve">Ten Thousand Hours — slide text   ·   </w:t>
    </w:r>
    <w:r>
      <w:rPr>
        <w:rFonts w:ascii="Calibri" w:cs="Calibri" w:eastAsia="Calibri" w:hAnsi="Calibri"/>
        <w:color w:val="6E67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81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/>
      <w:outlineLvl w:val="0"/>
    </w:pPr>
    <w:rPr>
      <w:rFonts w:ascii="Georgia" w:cs="Georgia" w:eastAsia="Georgia" w:hAnsi="Georgia"/>
      <w:color w:val="1B1815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spacing w:after="140" w:before="420"/>
      <w:outlineLvl w:val="1"/>
    </w:pPr>
    <w:rPr>
      <w:rFonts w:ascii="Georgia" w:cs="Georgia" w:eastAsia="Georgia" w:hAnsi="Georgia"/>
      <w:color w:val="1B1815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 Thousand Hours — slide text</dc:title>
  <dc:creator>Ten Thousand Hours</dc:creator>
  <cp:lastModifiedBy>Un-named</cp:lastModifiedBy>
  <cp:revision>1</cp:revision>
  <dcterms:created xsi:type="dcterms:W3CDTF">2026-09-10T23:25:02.173Z</dcterms:created>
  <dcterms:modified xsi:type="dcterms:W3CDTF">2026-09-10T23:25:02.174Z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