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0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Behold the most misleading quoted number in self-improvement.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expertise</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Roughly ten thousand hours of practice separates the experts from everyone else. Study the Beatles, Bill Gates, and exceptional violinists and you find the same figure.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memorable part.</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Anders Ericsson spent years of his life going against the grain. He knew the hours were just evidence of something more intricate. He found that it was about the feedback loop, not the hours.</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just the container.</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Everything after this slide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has two children Stephanie and Serenity. One is “made from your basic metals used in cheap jewelry.” The other has a sterling silver headjoint, shaped to her own mouth. *Eight hundred dollars, and ten thousand.*</w:t>
            </w:r>
          </w:p>
        </w:tc>
      </w:tr>
    </w:tbl>
    <w:p>
      <w:pPr>
        <w:pStyle w:val="Heading1"/>
        <w:spacing w:after="140" w:before="320"/>
      </w:pPr>
      <w:r>
        <w:t xml:space="preserve">Slide 07 — The booklet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 deliberate practice</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What the hours actually represented</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/scales-page.jpg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Flute Scale Studies · organized by Mr. Bryan McCall II</w:t>
            </w:r>
          </w:p>
        </w:tc>
      </w:tr>
      <w:tr>
        <w:tc>
          <w:tcPr>
            <w:tcW w:type="dxa" w:w="3100"/>
            <w:tcMar>
              <w:top w:type="dxa" w:w="80"/>
              <w:left w:type="dxa" w:w="120"/>
              <w:bottom w:type="dxa" w:w="80"/>
              <w:right w:type="dxa" w:w="120"/>
            </w:tcMar>
          </w:tcPr>
          <w:p>
            <w:r>
              <w:rPr>
                <w:color w:val="555555"/>
                <w:sz w:val="19"/>
                <w:szCs w:val="19"/>
              </w:rPr>
              <w:t xml:space="preserve">Item 1 label</w:t>
            </w:r>
          </w:p>
        </w:tc>
        <w:tc>
          <w:tcPr>
            <w:tcW w:type="dxa" w:w="6260"/>
            <w:tcMar>
              <w:top w:type="dxa" w:w="80"/>
              <w:left w:type="dxa" w:w="120"/>
              <w:bottom w:type="dxa" w:w="80"/>
              <w:right w:type="dxa" w:w="120"/>
            </w:tcMar>
          </w:tcPr>
          <w:p>
            <w:r>
              <w:rPr>
                <w:b w:val="false"/>
                <w:bCs w:val="false"/>
                <w:color w:val="000000"/>
                <w:sz w:val="21"/>
                <w:szCs w:val="21"/>
              </w:rPr>
              <w:t xml:space="preserve">Section 1</w:t>
            </w:r>
          </w:p>
        </w:tc>
      </w:tr>
      <w:tr>
        <w:tc>
          <w:tcPr>
            <w:tcW w:type="dxa" w:w="3100"/>
            <w:tcMar>
              <w:top w:type="dxa" w:w="80"/>
              <w:left w:type="dxa" w:w="120"/>
              <w:bottom w:type="dxa" w:w="80"/>
              <w:right w:type="dxa" w:w="120"/>
            </w:tcMar>
          </w:tcPr>
          <w:p>
            <w:r>
              <w:rPr>
                <w:color w:val="555555"/>
                <w:sz w:val="19"/>
                <w:szCs w:val="19"/>
              </w:rPr>
              <w:t xml:space="preserve">Item 1 text</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you to the next note”</w:t>
            </w:r>
          </w:p>
        </w:tc>
      </w:tr>
      <w:tr>
        <w:tc>
          <w:tcPr>
            <w:tcW w:type="dxa" w:w="3100"/>
            <w:tcMar>
              <w:top w:type="dxa" w:w="80"/>
              <w:left w:type="dxa" w:w="120"/>
              <w:bottom w:type="dxa" w:w="80"/>
              <w:right w:type="dxa" w:w="120"/>
            </w:tcMar>
          </w:tcPr>
          <w:p>
            <w:r>
              <w:rPr>
                <w:color w:val="555555"/>
                <w:sz w:val="19"/>
                <w:szCs w:val="19"/>
              </w:rPr>
              <w:t xml:space="preserve">Item 2 label</w:t>
            </w:r>
          </w:p>
        </w:tc>
        <w:tc>
          <w:tcPr>
            <w:tcW w:type="dxa" w:w="6260"/>
            <w:tcMar>
              <w:top w:type="dxa" w:w="80"/>
              <w:left w:type="dxa" w:w="120"/>
              <w:bottom w:type="dxa" w:w="80"/>
              <w:right w:type="dxa" w:w="120"/>
            </w:tcMar>
          </w:tcPr>
          <w:p>
            <w:r>
              <w:rPr>
                <w:b w:val="false"/>
                <w:bCs w:val="false"/>
                <w:color w:val="000000"/>
                <w:sz w:val="21"/>
                <w:szCs w:val="21"/>
              </w:rPr>
              <w:t xml:space="preserve">Section 2</w:t>
            </w:r>
          </w:p>
        </w:tc>
      </w:tr>
      <w:tr>
        <w:tc>
          <w:tcPr>
            <w:tcW w:type="dxa" w:w="3100"/>
            <w:tcMar>
              <w:top w:type="dxa" w:w="80"/>
              <w:left w:type="dxa" w:w="120"/>
              <w:bottom w:type="dxa" w:w="80"/>
              <w:right w:type="dxa" w:w="120"/>
            </w:tcMar>
          </w:tcPr>
          <w:p>
            <w:r>
              <w:rPr>
                <w:color w:val="555555"/>
                <w:sz w:val="19"/>
                <w:szCs w:val="19"/>
              </w:rPr>
              <w:t xml:space="preserve">Item 2 text</w:t>
            </w:r>
          </w:p>
        </w:tc>
        <w:tc>
          <w:tcPr>
            <w:tcW w:type="dxa" w:w="6260"/>
            <w:tcMar>
              <w:top w:type="dxa" w:w="80"/>
              <w:left w:type="dxa" w:w="120"/>
              <w:bottom w:type="dxa" w:w="80"/>
              <w:right w:type="dxa" w:w="120"/>
            </w:tcMar>
          </w:tcPr>
          <w:p>
            <w:r>
              <w:rPr>
                <w:b w:val="false"/>
                <w:bCs w:val="false"/>
                <w:color w:val="000000"/>
                <w:sz w:val="21"/>
                <w:szCs w:val="21"/>
              </w:rPr>
              <w:t xml:space="preserve">FBA Style</w:t>
            </w:r>
          </w:p>
        </w:tc>
      </w:tr>
      <w:tr>
        <w:tc>
          <w:tcPr>
            <w:tcW w:type="dxa" w:w="3100"/>
            <w:tcMar>
              <w:top w:type="dxa" w:w="80"/>
              <w:left w:type="dxa" w:w="120"/>
              <w:bottom w:type="dxa" w:w="80"/>
              <w:right w:type="dxa" w:w="120"/>
            </w:tcMar>
          </w:tcPr>
          <w:p>
            <w:r>
              <w:rPr>
                <w:color w:val="555555"/>
                <w:sz w:val="19"/>
                <w:szCs w:val="19"/>
              </w:rPr>
              <w:t xml:space="preserve">Item 3 label</w:t>
            </w:r>
          </w:p>
        </w:tc>
        <w:tc>
          <w:tcPr>
            <w:tcW w:type="dxa" w:w="6260"/>
            <w:tcMar>
              <w:top w:type="dxa" w:w="80"/>
              <w:left w:type="dxa" w:w="120"/>
              <w:bottom w:type="dxa" w:w="80"/>
              <w:right w:type="dxa" w:w="120"/>
            </w:tcMar>
          </w:tcPr>
          <w:p>
            <w:r>
              <w:rPr>
                <w:b w:val="false"/>
                <w:bCs w:val="false"/>
                <w:color w:val="000000"/>
                <w:sz w:val="21"/>
                <w:szCs w:val="21"/>
              </w:rPr>
              <w:t xml:space="preserve">Section 3</w:t>
            </w:r>
          </w:p>
        </w:tc>
      </w:tr>
      <w:tr>
        <w:tc>
          <w:tcPr>
            <w:tcW w:type="dxa" w:w="3100"/>
            <w:tcMar>
              <w:top w:type="dxa" w:w="80"/>
              <w:left w:type="dxa" w:w="120"/>
              <w:bottom w:type="dxa" w:w="80"/>
              <w:right w:type="dxa" w:w="120"/>
            </w:tcMar>
          </w:tcPr>
          <w:p>
            <w:r>
              <w:rPr>
                <w:color w:val="555555"/>
                <w:sz w:val="19"/>
                <w:szCs w:val="19"/>
              </w:rPr>
              <w:t xml:space="preserve">Item 3 text</w:t>
            </w:r>
          </w:p>
        </w:tc>
        <w:tc>
          <w:tcPr>
            <w:tcW w:type="dxa" w:w="6260"/>
            <w:tcMar>
              <w:top w:type="dxa" w:w="80"/>
              <w:left w:type="dxa" w:w="120"/>
              <w:bottom w:type="dxa" w:w="80"/>
              <w:right w:type="dxa" w:w="120"/>
            </w:tcMar>
          </w:tcPr>
          <w:p>
            <w:r>
              <w:rPr>
                <w:b w:val="false"/>
                <w:bCs w:val="false"/>
                <w:color w:val="000000"/>
                <w:sz w:val="21"/>
                <w:szCs w:val="21"/>
              </w:rPr>
              <w:t xml:space="preserve">Thirds</w:t>
            </w:r>
          </w:p>
        </w:tc>
      </w:tr>
      <w:tr>
        <w:tc>
          <w:tcPr>
            <w:tcW w:type="dxa" w:w="3100"/>
            <w:tcMar>
              <w:top w:type="dxa" w:w="80"/>
              <w:left w:type="dxa" w:w="120"/>
              <w:bottom w:type="dxa" w:w="80"/>
              <w:right w:type="dxa" w:w="120"/>
            </w:tcMar>
          </w:tcPr>
          <w:p>
            <w:r>
              <w:rPr>
                <w:color w:val="555555"/>
                <w:sz w:val="19"/>
                <w:szCs w:val="19"/>
              </w:rPr>
              <w:t xml:space="preserve">Item 4 label</w:t>
            </w:r>
          </w:p>
        </w:tc>
        <w:tc>
          <w:tcPr>
            <w:tcW w:type="dxa" w:w="6260"/>
            <w:tcMar>
              <w:top w:type="dxa" w:w="80"/>
              <w:left w:type="dxa" w:w="120"/>
              <w:bottom w:type="dxa" w:w="80"/>
              <w:right w:type="dxa" w:w="120"/>
            </w:tcMar>
          </w:tcPr>
          <w:p>
            <w:r>
              <w:rPr>
                <w:b w:val="false"/>
                <w:bCs w:val="false"/>
                <w:color w:val="000000"/>
                <w:sz w:val="21"/>
                <w:szCs w:val="21"/>
              </w:rPr>
              <w:t xml:space="preserve">Section 4</w:t>
            </w:r>
          </w:p>
        </w:tc>
      </w:tr>
      <w:tr>
        <w:tc>
          <w:tcPr>
            <w:tcW w:type="dxa" w:w="3100"/>
            <w:tcMar>
              <w:top w:type="dxa" w:w="80"/>
              <w:left w:type="dxa" w:w="120"/>
              <w:bottom w:type="dxa" w:w="80"/>
              <w:right w:type="dxa" w:w="120"/>
            </w:tcMar>
          </w:tcPr>
          <w:p>
            <w:r>
              <w:rPr>
                <w:color w:val="555555"/>
                <w:sz w:val="19"/>
                <w:szCs w:val="19"/>
              </w:rPr>
              <w:t xml:space="preserve">Item 4 text</w:t>
            </w:r>
          </w:p>
        </w:tc>
        <w:tc>
          <w:tcPr>
            <w:tcW w:type="dxa" w:w="6260"/>
            <w:tcMar>
              <w:top w:type="dxa" w:w="80"/>
              <w:left w:type="dxa" w:w="120"/>
              <w:bottom w:type="dxa" w:w="80"/>
              <w:right w:type="dxa" w:w="120"/>
            </w:tcMar>
          </w:tcPr>
          <w:p>
            <w:r>
              <w:rPr>
                <w:b w:val="false"/>
                <w:bCs w:val="false"/>
                <w:color w:val="000000"/>
                <w:sz w:val="21"/>
                <w:szCs w:val="21"/>
              </w:rPr>
              <w:t xml:space="preserve">Clark Flexibilities</w:t>
            </w:r>
          </w:p>
        </w:tc>
      </w:tr>
      <w:tr>
        <w:tc>
          <w:tcPr>
            <w:tcW w:type="dxa" w:w="3100"/>
            <w:tcMar>
              <w:top w:type="dxa" w:w="80"/>
              <w:left w:type="dxa" w:w="120"/>
              <w:bottom w:type="dxa" w:w="80"/>
              <w:right w:type="dxa" w:w="120"/>
            </w:tcMar>
          </w:tcPr>
          <w:p>
            <w:r>
              <w:rPr>
                <w:color w:val="555555"/>
                <w:sz w:val="19"/>
                <w:szCs w:val="19"/>
              </w:rPr>
              <w:t xml:space="preserve">Item 5 label</w:t>
            </w:r>
          </w:p>
        </w:tc>
        <w:tc>
          <w:tcPr>
            <w:tcW w:type="dxa" w:w="6260"/>
            <w:tcMar>
              <w:top w:type="dxa" w:w="80"/>
              <w:left w:type="dxa" w:w="120"/>
              <w:bottom w:type="dxa" w:w="80"/>
              <w:right w:type="dxa" w:w="120"/>
            </w:tcMar>
          </w:tcPr>
          <w:p>
            <w:r>
              <w:rPr>
                <w:b w:val="false"/>
                <w:bCs w:val="false"/>
                <w:color w:val="000000"/>
                <w:sz w:val="21"/>
                <w:szCs w:val="21"/>
              </w:rPr>
              <w:t xml:space="preserve">Section 5</w:t>
            </w:r>
          </w:p>
        </w:tc>
      </w:tr>
      <w:tr>
        <w:tc>
          <w:tcPr>
            <w:tcW w:type="dxa" w:w="3100"/>
            <w:tcMar>
              <w:top w:type="dxa" w:w="80"/>
              <w:left w:type="dxa" w:w="120"/>
              <w:bottom w:type="dxa" w:w="80"/>
              <w:right w:type="dxa" w:w="120"/>
            </w:tcMar>
          </w:tcPr>
          <w:p>
            <w:r>
              <w:rPr>
                <w:color w:val="555555"/>
                <w:sz w:val="19"/>
                <w:szCs w:val="19"/>
              </w:rPr>
              <w:t xml:space="preserve">Item 5 text</w:t>
            </w:r>
          </w:p>
        </w:tc>
        <w:tc>
          <w:tcPr>
            <w:tcW w:type="dxa" w:w="6260"/>
            <w:tcMar>
              <w:top w:type="dxa" w:w="80"/>
              <w:left w:type="dxa" w:w="120"/>
              <w:bottom w:type="dxa" w:w="80"/>
              <w:right w:type="dxa" w:w="120"/>
            </w:tcMar>
          </w:tcPr>
          <w:p>
            <w:r>
              <w:rPr>
                <w:b w:val="false"/>
                <w:bCs w:val="false"/>
                <w:color w:val="000000"/>
                <w:sz w:val="21"/>
                <w:szCs w:val="21"/>
              </w:rPr>
              <w:t xml:space="preserve">Articulation: slur two, tongue two; tongue all; slur up, tongue down</w:t>
            </w:r>
          </w:p>
        </w:tc>
      </w:tr>
      <w:tr>
        <w:tc>
          <w:tcPr>
            <w:tcW w:type="dxa" w:w="3100"/>
            <w:tcMar>
              <w:top w:type="dxa" w:w="80"/>
              <w:left w:type="dxa" w:w="120"/>
              <w:bottom w:type="dxa" w:w="80"/>
              <w:right w:type="dxa" w:w="120"/>
            </w:tcMar>
          </w:tcPr>
          <w:p>
            <w:r>
              <w:rPr>
                <w:color w:val="555555"/>
                <w:sz w:val="19"/>
                <w:szCs w:val="19"/>
              </w:rPr>
              <w:t xml:space="preserve">Item 6 label</w:t>
            </w:r>
          </w:p>
        </w:tc>
        <w:tc>
          <w:tcPr>
            <w:tcW w:type="dxa" w:w="6260"/>
            <w:tcMar>
              <w:top w:type="dxa" w:w="80"/>
              <w:left w:type="dxa" w:w="120"/>
              <w:bottom w:type="dxa" w:w="80"/>
              <w:right w:type="dxa" w:w="120"/>
            </w:tcMar>
          </w:tcPr>
          <w:p>
            <w:r>
              <w:rPr>
                <w:b w:val="false"/>
                <w:bCs w:val="false"/>
                <w:color w:val="000000"/>
                <w:sz w:val="21"/>
                <w:szCs w:val="21"/>
              </w:rPr>
              <w:t xml:space="preserve">Section 6</w:t>
            </w:r>
          </w:p>
        </w:tc>
      </w:tr>
      <w:tr>
        <w:tc>
          <w:tcPr>
            <w:tcW w:type="dxa" w:w="3100"/>
            <w:tcMar>
              <w:top w:type="dxa" w:w="80"/>
              <w:left w:type="dxa" w:w="120"/>
              <w:bottom w:type="dxa" w:w="80"/>
              <w:right w:type="dxa" w:w="120"/>
            </w:tcMar>
          </w:tcPr>
          <w:p>
            <w:r>
              <w:rPr>
                <w:color w:val="555555"/>
                <w:sz w:val="19"/>
                <w:szCs w:val="19"/>
              </w:rPr>
              <w:t xml:space="preserve">Item 6 text</w:t>
            </w:r>
          </w:p>
        </w:tc>
        <w:tc>
          <w:tcPr>
            <w:tcW w:type="dxa" w:w="6260"/>
            <w:tcMar>
              <w:top w:type="dxa" w:w="80"/>
              <w:left w:type="dxa" w:w="120"/>
              <w:bottom w:type="dxa" w:w="80"/>
              <w:right w:type="dxa" w:w="120"/>
            </w:tcMar>
          </w:tcPr>
          <w:p>
            <w:r>
              <w:rPr>
                <w:b w:val="false"/>
                <w:bCs w:val="false"/>
                <w:color w:val="000000"/>
                <w:sz w:val="21"/>
                <w:szCs w:val="21"/>
              </w:rPr>
              <w:t xml:space="preserve">Tonguing: four sixteenths and a quarter</w:t>
            </w:r>
          </w:p>
        </w:tc>
      </w:tr>
      <w:tr>
        <w:tc>
          <w:tcPr>
            <w:tcW w:type="dxa" w:w="3100"/>
            <w:tcMar>
              <w:top w:type="dxa" w:w="80"/>
              <w:left w:type="dxa" w:w="120"/>
              <w:bottom w:type="dxa" w:w="80"/>
              <w:right w:type="dxa" w:w="120"/>
            </w:tcMar>
          </w:tcPr>
          <w:p>
            <w:r>
              <w:rPr>
                <w:color w:val="555555"/>
                <w:sz w:val="19"/>
                <w:szCs w:val="19"/>
              </w:rPr>
              <w:t xml:space="preserve">Item 7 label</w:t>
            </w:r>
          </w:p>
        </w:tc>
        <w:tc>
          <w:tcPr>
            <w:tcW w:type="dxa" w:w="6260"/>
            <w:tcMar>
              <w:top w:type="dxa" w:w="80"/>
              <w:left w:type="dxa" w:w="120"/>
              <w:bottom w:type="dxa" w:w="80"/>
              <w:right w:type="dxa" w:w="120"/>
            </w:tcMar>
          </w:tcPr>
          <w:p>
            <w:r>
              <w:rPr>
                <w:b w:val="false"/>
                <w:bCs w:val="false"/>
                <w:color w:val="000000"/>
                <w:sz w:val="21"/>
                <w:szCs w:val="21"/>
              </w:rPr>
              <w:t xml:space="preserve">Section 7</w:t>
            </w:r>
          </w:p>
        </w:tc>
      </w:tr>
      <w:tr>
        <w:tc>
          <w:tcPr>
            <w:tcW w:type="dxa" w:w="3100"/>
            <w:tcMar>
              <w:top w:type="dxa" w:w="80"/>
              <w:left w:type="dxa" w:w="120"/>
              <w:bottom w:type="dxa" w:w="80"/>
              <w:right w:type="dxa" w:w="120"/>
            </w:tcMar>
          </w:tcPr>
          <w:p>
            <w:r>
              <w:rPr>
                <w:color w:val="555555"/>
                <w:sz w:val="19"/>
                <w:szCs w:val="19"/>
              </w:rPr>
              <w:t xml:space="preserve">Item 7 text</w:t>
            </w:r>
          </w:p>
        </w:tc>
        <w:tc>
          <w:tcPr>
            <w:tcW w:type="dxa" w:w="6260"/>
            <w:tcMar>
              <w:top w:type="dxa" w:w="80"/>
              <w:left w:type="dxa" w:w="120"/>
              <w:bottom w:type="dxa" w:w="80"/>
              <w:right w:type="dxa" w:w="120"/>
            </w:tcMar>
          </w:tcPr>
          <w:p>
            <w:r>
              <w:rPr>
                <w:b w:val="false"/>
                <w:bCs w:val="false"/>
                <w:color w:val="000000"/>
                <w:sz w:val="21"/>
                <w:szCs w:val="21"/>
              </w:rPr>
              <w:t xml:space="preserve">Remington Interval Slurs</w:t>
            </w:r>
          </w:p>
        </w:tc>
      </w:tr>
      <w:tr>
        <w:tc>
          <w:tcPr>
            <w:tcW w:type="dxa" w:w="3100"/>
            <w:tcMar>
              <w:top w:type="dxa" w:w="80"/>
              <w:left w:type="dxa" w:w="120"/>
              <w:bottom w:type="dxa" w:w="80"/>
              <w:right w:type="dxa" w:w="120"/>
            </w:tcMar>
          </w:tcPr>
          <w:p>
            <w:r>
              <w:rPr>
                <w:color w:val="555555"/>
                <w:sz w:val="19"/>
                <w:szCs w:val="19"/>
              </w:rPr>
              <w:t xml:space="preserve">Line underneath</w:t>
            </w:r>
          </w:p>
        </w:tc>
        <w:tc>
          <w:tcPr>
            <w:tcW w:type="dxa" w:w="6260"/>
            <w:tcMar>
              <w:top w:type="dxa" w:w="80"/>
              <w:left w:type="dxa" w:w="120"/>
              <w:bottom w:type="dxa" w:w="80"/>
              <w:right w:type="dxa" w:w="120"/>
            </w:tcMar>
          </w:tcPr>
          <w:p>
            <w:r>
              <w:rPr>
                <w:b w:val="false"/>
                <w:bCs w:val="false"/>
                <w:color w:val="000000"/>
                <w:sz w:val="21"/>
                <w:szCs w:val="21"/>
              </w:rPr>
              <w:t xml:space="preserve">A structured approach to learning filled the practice time. Cole learned from quality instruction *optimized for efficient progression.*</w:t>
            </w:r>
          </w:p>
        </w:tc>
      </w:tr>
    </w:tbl>
    <w:p>
      <w:pPr>
        <w:pStyle w:val="Heading1"/>
        <w:spacing w:after="140" w:before="320"/>
      </w:pPr>
      <w:r>
        <w:t xml:space="preserve">Slide 08 — The record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Seven years, no baby pictures because she had no baby pictures. 💔</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Él instrument</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Band room</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A flute behind glass</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Washington, DC</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Piccolo, Friday night</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Royal Regiment</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Fourth of July parade</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The Capitol, this year</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The stands</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An ordinary Friday</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Nobody does it alone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Cole flute origin</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09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II</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Not hours stacking up. *Techniques unlocking.*</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tcMar>
              <w:top w:type="dxa" w:w="80"/>
              <w:left w:type="dxa" w:w="120"/>
              <w:bottom w:type="dxa" w:w="80"/>
              <w:right w:type="dxa" w:w="120"/>
            </w:tcMar>
          </w:tcPr>
          <w:p>
            <w:r>
              <w:rPr>
                <w:b w:val="false"/>
                <w:bCs w:val="false"/>
                <w:color w:val="000000"/>
                <w:sz w:val="21"/>
                <w:szCs w:val="21"/>
              </w:rPr>
              <w:t xml:space="preserve">2019</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tcMar>
              <w:top w:type="dxa" w:w="80"/>
              <w:left w:type="dxa" w:w="120"/>
              <w:bottom w:type="dxa" w:w="80"/>
              <w:right w:type="dxa" w:w="120"/>
            </w:tcMar>
          </w:tcPr>
          <w:p>
            <w:r>
              <w:rPr>
                <w:b w:val="false"/>
                <w:bCs w:val="false"/>
                <w:color w:val="000000"/>
                <w:sz w:val="21"/>
                <w:szCs w:val="21"/>
              </w:rPr>
              <w:t xml:space="preserve">Sixth grade, age eleven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Her school was broke, so it was band.</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tcMar>
              <w:top w:type="dxa" w:w="80"/>
              <w:left w:type="dxa" w:w="120"/>
              <w:bottom w:type="dxa" w:w="80"/>
              <w:right w:type="dxa" w:w="120"/>
            </w:tcMar>
          </w:tcPr>
          <w:p>
            <w:r>
              <w:rPr>
                <w:b w:val="false"/>
                <w:bCs w:val="false"/>
                <w:color w:val="000000"/>
                <w:sz w:val="21"/>
                <w:szCs w:val="21"/>
              </w:rPr>
              <w:t xml:space="preserve">2022</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1400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tcMar>
              <w:top w:type="dxa" w:w="80"/>
              <w:left w:type="dxa" w:w="120"/>
              <w:bottom w:type="dxa" w:w="80"/>
              <w:right w:type="dxa" w:w="120"/>
            </w:tcMar>
          </w:tcPr>
          <w:p>
            <w:r>
              <w:rPr>
                <w:b w:val="false"/>
                <w:bCs w:val="false"/>
                <w:color w:val="000000"/>
                <w:sz w:val="21"/>
                <w:szCs w:val="21"/>
              </w:rPr>
              <w:t xml:space="preserve">Age thirteen, a grade 7</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tcMar>
              <w:top w:type="dxa" w:w="80"/>
              <w:left w:type="dxa" w:w="120"/>
              <w:bottom w:type="dxa" w:w="80"/>
              <w:right w:type="dxa" w:w="120"/>
            </w:tcMar>
          </w:tcPr>
          <w:p>
            <w:r>
              <w:rPr>
                <w:b w:val="false"/>
                <w:bCs w:val="false"/>
                <w:color w:val="000000"/>
                <w:sz w:val="21"/>
                <w:szCs w:val="21"/>
              </w:rPr>
              <w:t xml:space="preserve">“which only SOME high school seniors may touch if they’re committed to the craft.” That year she also played The Entertainer in concert band.</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tcMar>
              <w:top w:type="dxa" w:w="80"/>
              <w:left w:type="dxa" w:w="120"/>
              <w:bottom w:type="dxa" w:w="80"/>
              <w:right w:type="dxa" w:w="120"/>
            </w:tcMar>
          </w:tcPr>
          <w:p>
            <w:r>
              <w:rPr>
                <w:b w:val="false"/>
                <w:bCs w:val="false"/>
                <w:color w:val="000000"/>
                <w:sz w:val="21"/>
                <w:szCs w:val="21"/>
              </w:rPr>
              <w:t xml:space="preserve">2024</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2900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tcMar>
              <w:top w:type="dxa" w:w="80"/>
              <w:left w:type="dxa" w:w="120"/>
              <w:bottom w:type="dxa" w:w="80"/>
              <w:right w:type="dxa" w:w="120"/>
            </w:tcMar>
          </w:tcPr>
          <w:p>
            <w:r>
              <w:rPr>
                <w:b w:val="false"/>
                <w:bCs w:val="false"/>
                <w:color w:val="000000"/>
                <w:sz w:val="21"/>
                <w:szCs w:val="21"/>
              </w:rPr>
              <w:t xml:space="preserve">First solo: sophomore year</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tcMar>
              <w:top w:type="dxa" w:w="80"/>
              <w:left w:type="dxa" w:w="120"/>
              <w:bottom w:type="dxa" w:w="80"/>
              <w:right w:type="dxa" w:w="120"/>
            </w:tcMar>
          </w:tcPr>
          <w:p>
            <w:r>
              <w:rPr>
                <w:b w:val="false"/>
                <w:bCs w:val="false"/>
                <w:color w:val="000000"/>
                <w:sz w:val="21"/>
                <w:szCs w:val="21"/>
              </w:rPr>
              <w:t xml:space="preserve">Only because it was required. She was too shy to want it, and never had to audition for anything.</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tcMar>
              <w:top w:type="dxa" w:w="80"/>
              <w:left w:type="dxa" w:w="120"/>
              <w:bottom w:type="dxa" w:w="80"/>
              <w:right w:type="dxa" w:w="120"/>
            </w:tcMar>
          </w:tcPr>
          <w:p>
            <w:r>
              <w:rPr>
                <w:b w:val="false"/>
                <w:bCs w:val="false"/>
                <w:color w:val="000000"/>
                <w:sz w:val="21"/>
                <w:szCs w:val="21"/>
              </w:rPr>
              <w:t xml:space="preserve">The Capitol, Fourth of July</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tcMar>
              <w:top w:type="dxa" w:w="80"/>
              <w:left w:type="dxa" w:w="120"/>
              <w:bottom w:type="dxa" w:w="80"/>
              <w:right w:type="dxa" w:w="120"/>
            </w:tcMar>
          </w:tcPr>
          <w:p>
            <w:r>
              <w:rPr>
                <w:b w:val="false"/>
                <w:bCs w:val="false"/>
                <w:color w:val="000000"/>
                <w:sz w:val="21"/>
                <w:szCs w:val="21"/>
              </w:rPr>
              <w:t xml:space="preserve">Four years on piccolo, first chair. There’s actual TV footage.</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10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booklet. No sections. No director to signal the next note. Two and a half thousand hours of playing with his eyes closed.</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tcMar>
              <w:top w:type="dxa" w:w="80"/>
              <w:left w:type="dxa" w:w="120"/>
              <w:bottom w:type="dxa" w:w="80"/>
              <w:right w:type="dxa" w:w="120"/>
            </w:tcMar>
          </w:tcPr>
          <w:p>
            <w:r>
              <w:rPr>
                <w:b w:val="false"/>
                <w:bCs w:val="false"/>
                <w:color w:val="000000"/>
                <w:sz w:val="21"/>
                <w:szCs w:val="21"/>
              </w:rPr>
              <w:t xml:space="preserve">Silver 1</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i need a life</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The issue isn't the amount of hours, it's the quality of those hours.</w:t>
            </w:r>
          </w:p>
        </w:tc>
      </w:tr>
    </w:tbl>
    <w:p>
      <w:pPr>
        <w:pStyle w:val="Heading1"/>
        <w:spacing w:after="140" w:before="320"/>
      </w:pPr>
      <w:r>
        <w:t xml:space="preserve">Slide 12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 </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This is the mindset you *need* to have to constantly improve.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The peak of mastery isn't surmounted by *"normal methods."*</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13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answers has a price. Here is Cole’s.</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beginner flute?</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$800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One whose headjoint is shaped to your mouth?</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piccolo, if you want the harder instrument?</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$13,000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seven years?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≈$16,800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school with a music program at all?</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on the district</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band director who replaces what broke?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Gladwell's true message was never about effort. Every outlier in his book was positioned somewhere that allowed them the privilege of a efficient feedback loop. They knew what direction was the best use of their time. Feedback is not free, nor handed evenly.</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 to 1962: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“my school was broke so we had band.” Orchestra has strings, band does not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Maybe its not that he outliers out-willed everyone. *Maybe they were all standing closer to the answer.*</w:t>
            </w:r>
          </w:p>
        </w:tc>
      </w:tr>
    </w:tbl>
    <w:p>
      <w:pPr>
        <w:pStyle w:val="Heading1"/>
        <w:spacing w:after="140" w:before="320"/>
      </w:pPr>
      <w:r>
        <w:t xml:space="preserve">Slide 14 — The piccolo</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What the list cannot price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Her piccolo broke at a football game. It was the school’s, and it was $13,000.</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it just SNAPPED on me bc the wood was old and probably rotted… i was sobbing so bad LMFAOO… so my band director secretly bought a new one so i wouldn’t freak out</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15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16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hours only count when someone’s correcting you, then the best habit a leader can build is asking to be corrected: early and often, before it’s comfortable. Asking changes your own slope. Giving it changes everyone else’s, which is most of the job.</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We can always pretend to have answers. The question, however, would be, how would we then find constructive criticism that can support our growth?</w:t>
            </w:r>
          </w:p>
        </w:tc>
      </w:tr>
    </w:tbl>
    <w:p>
      <w:pPr>
        <w:pStyle w:val="Heading1"/>
        <w:spacing w:after="140" w:before="320"/>
      </w:pPr>
      <w:r>
        <w:t xml:space="preserve">Slide 17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18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Power of Food.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People are trying.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the gate that costs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That’s the band director.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isn’t telling people to try harder. *It’s being the feedback they never got.*</w:t>
            </w:r>
          </w:p>
        </w:tc>
      </w:tr>
    </w:tbl>
    <w:p>
      <w:pPr>
        <w:pStyle w:val="Heading1"/>
        <w:spacing w:after="140" w:before="320"/>
      </w:pPr>
      <w:r>
        <w:t xml:space="preserve">Slide 19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20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here’s the statement we’re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don’t count hours. We build the loops that make hours count: asking to be corrected before it’s comfortable, and being that correction for the people around us. Nobody gets good alone, and we’d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21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which is the same loop pointed at somebody else.</w:t>
            </w:r>
          </w:p>
        </w:tc>
      </w:tr>
    </w:tbl>
    <w:p>
      <w:pPr>
        <w:pStyle w:val="Heading1"/>
        <w:spacing w:after="140" w:before="320"/>
      </w:pPr>
      <w:r>
        <w:t xml:space="preserve">Slide 22 — Back to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We asked her what seven years actually looked like.</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after school (3pm), i’d do some hw, practice and warm up until practice starts (5:30pm) and it usually goes to like (8:30)… then i’d practice for like another 2 hours LMFAO… and for fridays for football/marching band, i was at school until 11 pm</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23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2026-09-14T16:42:26.301Z</dcterms:created>
  <dcterms:modified xsi:type="dcterms:W3CDTF">2026-09-14T16:42:26.301Z</dcterms:modified>
</cp:coreProperties>
</file>

<file path=docProps/custom.xml><?xml version="1.0" encoding="utf-8"?>
<Properties xmlns="http://schemas.openxmlformats.org/officeDocument/2006/custom-properties" xmlns:vt="http://schemas.openxmlformats.org/officeDocument/2006/docPropsVTypes"/>
</file>