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Ten Thousand Hours</w:t>
      </w:r>
    </w:p>
    <w:p>
      <w:pPr>
        <w:spacing w:after="120"/>
      </w:pPr>
      <w:r>
        <w:rPr>
          <w:sz w:val="22"/>
          <w:szCs w:val="22"/>
        </w:rPr>
        <w:t xml:space="preserve">Every word on every slide. Edit the right-hand column, then send this file back.</w:t>
      </w:r>
    </w:p>
    <w:p>
      <w:pPr>
        <w:spacing w:after="120"/>
      </w:pPr>
      <w:r>
        <w:rPr>
          <w:b/>
          <w:bCs/>
          <w:color w:val="8A6100"/>
          <w:sz w:val="22"/>
          <w:szCs w:val="22"/>
        </w:rPr>
        <w:t xml:space="preserve">28 highlighted blanks still need real information.</w:t>
      </w:r>
    </w:p>
    <w:p>
      <w:pPr>
        <w:spacing w:after="200"/>
      </w:pPr>
    </w:p>
    <w:p>
      <w:pPr>
        <w:spacing w:after="120"/>
      </w:pPr>
      <w:r>
        <w:rPr>
          <w:sz w:val="20"/>
          <w:szCs w:val="20"/>
        </w:rPr>
        <w:t xml:space="preserve">Keep the left-hand labels exactly as they are — that is how each line finds its way back to the right slide.</w:t>
      </w:r>
    </w:p>
    <w:p>
      <w:pPr>
        <w:spacing w:after="120"/>
      </w:pPr>
      <w:r>
        <w:rPr>
          <w:sz w:val="20"/>
          <w:szCs w:val="20"/>
        </w:rPr>
        <w:t xml:space="preserve">Wrap words in *asterisks* to make them italic.</w:t>
      </w:r>
    </w:p>
    <w:p>
      <w:pPr>
        <w:spacing w:after="120"/>
      </w:pPr>
      <w:r>
        <w:rPr>
          <w:sz w:val="20"/>
          <w:szCs w:val="20"/>
        </w:rPr>
        <w:t xml:space="preserve">Want more or fewer photos, timeline stops, questions or costs? Add or delete rows and the layout will be reworked to match.</w:t>
      </w:r>
    </w:p>
    <w:p>
      <w:pPr>
        <w:spacing w:after="300"/>
      </w:pPr>
      <w:r>
        <w:rPr>
          <w:sz w:val="20"/>
          <w:szCs w:val="20"/>
        </w:rPr>
        <w:t xml:space="preserve">Slide numbers match the counter in the bottom-left corner of the site.</w:t>
      </w:r>
    </w:p>
    <w:p>
      <w:pPr>
        <w:pStyle w:val="Heading1"/>
        <w:spacing w:after="140" w:before="320"/>
      </w:pPr>
      <w:r>
        <w:t xml:space="preserve">On every slide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Title (first and last slide)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Ten Thousand Hours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Presenter(s)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Presenter name(s)]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Class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Class / course]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Year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MMXXVI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Scroll prompt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Scroll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Word above each chapter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Chapter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Running-hours label (right edge)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</w:t>
            </w:r>
          </w:p>
        </w:tc>
      </w:tr>
    </w:tbl>
    <w:p>
      <w:pPr>
        <w:pStyle w:val="Heading1"/>
        <w:spacing w:after="140" w:before="320"/>
      </w:pPr>
      <w:r>
        <w:t xml:space="preserve">Slide 01 — Opening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Top right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presentation on mastery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Big number (counts up to)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10,000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Under the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 to master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It is the most quoted number in self-improvement. It is also not what the research said.</w:t>
            </w:r>
          </w:p>
        </w:tc>
      </w:tr>
    </w:tbl>
    <w:p>
      <w:pPr>
        <w:pStyle w:val="Heading1"/>
        <w:spacing w:after="140" w:before="320"/>
      </w:pPr>
      <w:r>
        <w:t xml:space="preserve">Slide 02 — Chapter I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Master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person who did the hours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list beside it shows all four chapter titles automatically.</w:t>
      </w:r>
    </w:p>
    <w:p>
      <w:pPr>
        <w:pStyle w:val="Heading1"/>
        <w:spacing w:after="140" w:before="320"/>
      </w:pPr>
      <w:r>
        <w:t xml:space="preserve">Slide 03 — Meet Cole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Exhibit the First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Name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Cole — full name]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Instrument (italic, after the name)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flute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Photograph of Cole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1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Started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1 value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age /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2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Years in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2 value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e.g. 11]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3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Est. hours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Fact 3 value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e.g. 4,000]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Quote under the facts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She did not set out to do ten thousand hours. Nobody does. They just keep showing up.</w:t>
            </w:r>
          </w:p>
        </w:tc>
      </w:tr>
    </w:tbl>
    <w:p>
      <w:pPr>
        <w:pStyle w:val="Heading1"/>
        <w:spacing w:after="140" w:before="320"/>
      </w:pPr>
      <w:r>
        <w:t xml:space="preserve">Slide 04 — The origin story (photo wall)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Archival footage, absent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origin story we do not have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Cole has no video of the first time she picked up a flute. So this is a dramatization.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1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Child, age seven, discovering woodwind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1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Stock photograph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1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Dramatization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2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Not Cole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2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Stock photograph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2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Licensed, 2019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3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different child entirely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3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Stock photograph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3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Also licensed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4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Woman, thirties, portraying “mother”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4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Paid actor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4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Day rate undisclosed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5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Also not Cole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5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Stock photograph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5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We checked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6 caption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Flute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6 type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Object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Photo 6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Verified accurate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Disclaimer under the wall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No footage of young Cole exists. These children are not Cole. They are not related to Cole. We are legally required to say that.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“Plate I, II…” numbers are added automatically; the last photo is the flute punchline.</w:t>
      </w:r>
    </w:p>
    <w:p>
      <w:pPr>
        <w:pStyle w:val="Heading1"/>
        <w:spacing w:after="140" w:before="320"/>
      </w:pPr>
      <w:r>
        <w:t xml:space="preserve">Slide 05 — Cole’s timeline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record, as kept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What the hours looked like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Counter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 accumulated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1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1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120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1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First lesson]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1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2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2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2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Joined band]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2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3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3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900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3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First solo]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3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4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4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1800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4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First audition]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4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5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5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3000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5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Milestone]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5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6 year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year]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6 hours (number)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4200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6 title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Where she is now]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Stop 6 one line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One line about it.]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counter climbs as you scroll and ends on the last stop’s hours — that should be Cole’s total.</w:t>
      </w:r>
    </w:p>
    <w:p>
      <w:pPr>
        <w:pStyle w:val="Heading1"/>
        <w:spacing w:after="140" w:before="320"/>
      </w:pPr>
      <w:r>
        <w:t xml:space="preserve">Slide 06 — Big statement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1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Before we get to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2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what Cole learned,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3 (green italic)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we need to talk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4 (green italic)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about a number.</w:t>
            </w:r>
          </w:p>
        </w:tc>
      </w:tr>
    </w:tbl>
    <w:p>
      <w:pPr>
        <w:pStyle w:val="Heading1"/>
        <w:spacing w:after="140" w:before="320"/>
      </w:pPr>
      <w:r>
        <w:t xml:space="preserve">Slide 07 — Chapter II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II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Number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Where 10,000 came from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list beside it shows all four chapter titles automatically.</w:t>
      </w:r>
    </w:p>
    <w:p>
      <w:pPr>
        <w:pStyle w:val="Heading1"/>
        <w:spacing w:after="140" w:before="320"/>
      </w:pPr>
      <w:r>
        <w:t xml:space="preserve">Slide 08 — The 10,000-hour claim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Source 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Malcolm Gladwell, Outliers, 2008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Big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10,000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magic number of greatness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Body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Study the Beatles, Bill Gates, elite violinists — and you find the same figure. Roughly ten thousand hours of practice separates the great from everyone else.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Footnote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This is the version everybody remembers.</w:t>
            </w:r>
          </w:p>
        </w:tc>
      </w:tr>
    </w:tbl>
    <w:p>
      <w:pPr>
        <w:pStyle w:val="Heading1"/>
        <w:spacing w:after="140" w:before="320"/>
      </w:pPr>
      <w:r>
        <w:t xml:space="preserve">Slide 09 — The correction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Source 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Anders Ericsson — the researcher Gladwell cited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Crossed-out 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Ten thousand hours of practice.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Replacement 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Ten thousand hours of *deliberate* practice.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Body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Ericsson spent years objecting to the popular version. The hours were never the mechanism. What mattered was practice designed to fix what you are bad at — with feedback, at the edge of your ability.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Pull quote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number is a container. It says nothing about what you put in it.</w:t>
            </w:r>
          </w:p>
        </w:tc>
      </w:tr>
    </w:tbl>
    <w:p>
      <w:pPr>
        <w:pStyle w:val="Heading1"/>
        <w:spacing w:after="140" w:before="320"/>
      </w:pPr>
      <w:r>
        <w:t xml:space="preserve">Slide 10 — Meet Tyler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Exhibit the Second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Tyler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Game (under the name)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Rainbow Six Siege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Big number (counts up to)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2,500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Word after the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Punchline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Twenty-five percent of the way to mastery. Zero percent of the way to good.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Rank box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Current rank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Rank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actual rank]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Quote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Tyler's exact quote — the “still trash” line, verbatim]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quote is signed with his name automatically.</w:t>
      </w:r>
    </w:p>
    <w:p>
      <w:pPr>
        <w:pStyle w:val="Heading1"/>
        <w:spacing w:after="140" w:before="320"/>
      </w:pPr>
      <w:r>
        <w:t xml:space="preserve">Slide 11 — Big statement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1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So why is Tyler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2 (green italic)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still bad at Siege?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Small print underneath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He has the hours. He does not have the thing the hours were supposed to contain.</w:t>
            </w:r>
          </w:p>
        </w:tc>
      </w:tr>
    </w:tbl>
    <w:p>
      <w:pPr>
        <w:pStyle w:val="Heading1"/>
        <w:spacing w:after="140" w:before="320"/>
      </w:pPr>
      <w:r>
        <w:t xml:space="preserve">Slide 12 — Chapter III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III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Separator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Why the same hours diverge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list beside it shows all four chapter titles automatically.</w:t>
      </w:r>
    </w:p>
    <w:p>
      <w:pPr>
        <w:pStyle w:val="Heading1"/>
        <w:spacing w:after="140" w:before="320"/>
      </w:pPr>
      <w:r>
        <w:t xml:space="preserve">Slide 13 — The graph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Plate III — the whole argument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Same hours. *Different curves.*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Legend 1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Casual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Legend 1 quote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"I might as well."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Legend 2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Obsessed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Legend 2 quote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"What else is there?"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Dot 1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Tyler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Dot 1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2,500 hrs · plateaued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Dot 2 name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Dot 2 note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still climbing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on the gap between the lines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This gap is the presentation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Bottom axis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 invested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Side axis label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Actual skill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under the graph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Both of them showed up. Only one of them was practising.</w:t>
            </w:r>
          </w:p>
        </w:tc>
      </w:tr>
    </w:tbl>
    <w:p>
      <w:pPr>
        <w:pStyle w:val="Heading1"/>
        <w:spacing w:after="140" w:before="320"/>
      </w:pPr>
      <w:r>
        <w:t xml:space="preserve">Slide 14 — The question spiral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Marginalia — what obsession sounds like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obsessed player does not just play more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They interrogate everything. It starts reasonable.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1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Which strategies actually work?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2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Which ones only look like they work?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3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What are the optimal peek angles?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4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Which movement tech makes me harder to hit?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5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Am I holding the wrong angles on defense?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6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Is my sensitivity costing me flicks?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7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Is my mouse polling rate too low?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8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Is my monitor adding input lag?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9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What temperature should my room be to lock in?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10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Am I playing worse after 9pm?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11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How far am I from the nearest server?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Question 12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Should I move house for better ping?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under the final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And that is the one that gives it away.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last question is the punchline — it ends up alone on screen.</w:t>
      </w:r>
    </w:p>
    <w:p>
      <w:pPr>
        <w:pStyle w:val="Heading1"/>
        <w:spacing w:after="140" w:before="320"/>
      </w:pPr>
      <w:r>
        <w:t xml:space="preserve">Slide 15 — The catch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above 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Outliers — the part nobody quotes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Headline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Every question has an answer. The answers cost money.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1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better monitor?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1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$250–400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2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coach who reviews VOD?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2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$40 / hour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3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Move closer to a server?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3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$5,000+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4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flute that stays in tune?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4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$900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5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teacher, once a week, for eleven years?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5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$26,400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6 question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Someone free to drive you there?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Cost 6 price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Priceless / unbuyable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Paragraph beside the costs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Gladwell’s real argument was never about effort. It was about access — being born at the right time, near the right people, with the right door unlocked.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Example 1 who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Bill Gates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Example 1 what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Lakeside, 1968: a teletype wired to a mainframe when almost no university had one — then seven straight years of programming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Example 2 who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Beatles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Example 2 what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Hamburg, 1960–62: 270 nights, five or more hours a night — about 1,200 live shows before their first hit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Closing line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Obsession is the separator. *Resources are the ceiling.*</w:t>
            </w:r>
          </w:p>
        </w:tc>
      </w:tr>
    </w:tbl>
    <w:p>
      <w:pPr>
        <w:pStyle w:val="Heading1"/>
        <w:spacing w:after="140" w:before="320"/>
      </w:pPr>
      <w:r>
        <w:t xml:space="preserve">Slide 16 — Chapter IV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number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IV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The Content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Chapter subtitle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What actually filled them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list beside it shows all four chapter titles automatically.</w:t>
      </w:r>
    </w:p>
    <w:p>
      <w:pPr>
        <w:pStyle w:val="Heading1"/>
        <w:spacing w:after="140" w:before="320"/>
      </w:pPr>
      <w:r>
        <w:t xml:space="preserve">Slide 17 — Cole’s takeaway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Label at the top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Back to Cole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Lead-in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So we asked her what all that time actually taught her.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Cole’s quote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Cole's takeaway — what she learned about learning. This is the line the whole deck lands on.]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Signed</w:t>
            </w:r>
          </w:p>
        </w:tc>
        <w:tc>
          <w:tcPr>
            <w:tcW w:type="dxa" w:w="6260"/>
            <w:shd w:fill="FFF3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8A6100"/>
                <w:sz w:val="21"/>
                <w:szCs w:val="21"/>
              </w:rPr>
              <w:t xml:space="preserve">[FILL IN: Cole — full name]</w:t>
            </w:r>
          </w:p>
        </w:tc>
      </w:tr>
    </w:tbl>
    <w:p>
      <w:pPr>
        <w:pStyle w:val="Heading1"/>
        <w:spacing w:after="140" w:before="320"/>
      </w:pPr>
      <w:r>
        <w:t xml:space="preserve">Slide 18 — Closing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1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Hours are the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2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container.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Line 3 (green italic)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You choose the content.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Slides that do not exist yet</w:t>
      </w:r>
    </w:p>
    <w:p>
      <w:pPr>
        <w:spacing w:after="120"/>
      </w:pPr>
      <w:r>
        <w:rPr>
          <w:sz w:val="21"/>
          <w:szCs w:val="21"/>
        </w:rPr>
        <w:t xml:space="preserve">The README checklist lists four sections. The deck covers Section 1. If the rubric wants the other three, sketch them here — rough notes are enough, they can be turned into real slides.</w:t>
      </w:r>
    </w:p>
    <w:tbl>
      <w:tblPr>
        <w:tblW w:type="dxa" w:w="9360"/>
        <w:tblBorders>
          <w:top w:val="single" w:color="D8D4CA" w:sz="2"/>
          <w:left w:val="single" w:color="D8D4CA" w:sz="2"/>
          <w:bottom w:val="single" w:color="D8D4CA" w:sz="2"/>
          <w:right w:val="single" w:color="D8D4CA" w:sz="2"/>
          <w:insideH w:val="single" w:color="E8E5DD" w:sz="2"/>
          <w:insideV w:val="single" w:color="E8E5DD" w:sz="2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Section 2 — “Developing Leadership Mindsets”: the connection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[FILL IN]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Section 2 — anything specific from the module to quote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[FILL IN]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Section 3 — how this applies to food insecurity / community service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[FILL IN]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Section 3 — a concrete example or number worth putting on screen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[FILL IN]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9"/>
                <w:szCs w:val="19"/>
              </w:rPr>
              <w:t xml:space="preserve">Section 4 — professional brand statement for the group</w:t>
            </w:r>
          </w:p>
        </w:tc>
        <w:tc>
          <w:tcPr>
            <w:tcW w:type="dxa" w:w="6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[FILL IN]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These rows are plain text, not slides yet — send back whatever you have and the slides get built around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b/>
      <w:bCs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rFonts w:ascii="Georgia" w:cs="Georgia" w:eastAsia="Georgia" w:hAnsi="Georgia"/>
      <w:b/>
      <w:bCs/>
      <w:color w:val="2A2A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2026-09-13T20:30:41.581Z</dcterms:created>
  <dcterms:modified xsi:type="dcterms:W3CDTF">2026-09-13T20:30:41.582Z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