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jc w:val="center"/>
      </w:pPr>
      <w:r>
        <w:rPr>
          <w:rFonts w:ascii="Aptos Display" w:hAnsi="Aptos Display"/>
          <w:b/>
          <w:i w:val="0"/>
          <w:color w:val="000000"/>
          <w:sz w:val="44"/>
        </w:rPr>
        <w:t>ADEBIYI ADEGBOYE</w:t>
      </w:r>
    </w:p>
    <w:p>
      <w:pPr>
        <w:keepNext/>
        <w:spacing w:after="40"/>
        <w:jc w:val="center"/>
      </w:pPr>
      <w:r>
        <w:rPr>
          <w:rFonts w:ascii="Aptos" w:hAnsi="Aptos"/>
          <w:b/>
          <w:i w:val="0"/>
          <w:color w:val="000000"/>
          <w:sz w:val="24"/>
        </w:rPr>
        <w:t>PLATFORM ENGINEERING TEAM LEAD  |  CLOUD INFRASTRUCTURE</w:t>
      </w:r>
    </w:p>
    <w:p>
      <w:pPr>
        <w:spacing w:after="140"/>
        <w:jc w:val="center"/>
      </w:pPr>
      <w:r>
        <w:rPr>
          <w:rFonts w:ascii="Aptos" w:hAnsi="Aptos"/>
          <w:b w:val="0"/>
          <w:i w:val="0"/>
          <w:color w:val="000000"/>
          <w:sz w:val="18"/>
        </w:rPr>
        <w:t>London, United Kingdom</w:t>
      </w:r>
      <w:r>
        <w:rPr>
          <w:rFonts w:ascii="Aptos" w:hAnsi="Aptos"/>
          <w:b w:val="0"/>
          <w:i w:val="0"/>
          <w:color w:val="696969"/>
          <w:sz w:val="18"/>
        </w:rPr>
        <w:t xml:space="preserve">  |  </w:t>
      </w:r>
      <w:r>
        <w:rPr>
          <w:rFonts w:ascii="Aptos" w:hAnsi="Aptos"/>
          <w:b w:val="0"/>
          <w:i w:val="0"/>
          <w:color w:val="000000"/>
          <w:sz w:val="18"/>
        </w:rPr>
        <w:t>07404 806933</w:t>
      </w:r>
      <w:r>
        <w:rPr>
          <w:rFonts w:ascii="Aptos" w:hAnsi="Aptos"/>
          <w:b w:val="0"/>
          <w:i w:val="0"/>
          <w:color w:val="696969"/>
          <w:sz w:val="18"/>
        </w:rPr>
        <w:t xml:space="preserve">  |  </w:t>
      </w:r>
      <w:r>
        <w:rPr>
          <w:rFonts w:ascii="Aptos" w:hAnsi="Aptos"/>
          <w:b w:val="0"/>
          <w:i w:val="0"/>
          <w:color w:val="000000"/>
          <w:sz w:val="18"/>
        </w:rPr>
        <w:t>loluadegboye@gmail.com</w:t>
      </w:r>
      <w:r>
        <w:rPr>
          <w:rFonts w:ascii="Aptos" w:hAnsi="Aptos"/>
          <w:b w:val="0"/>
          <w:i w:val="0"/>
          <w:color w:val="696969"/>
          <w:sz w:val="18"/>
        </w:rPr>
        <w:t xml:space="preserve">  |  </w:t>
      </w:r>
      <w:r>
        <w:rPr>
          <w:rFonts w:ascii="Aptos" w:hAnsi="Aptos"/>
          <w:b w:val="0"/>
          <w:i w:val="0"/>
          <w:color w:val="000000"/>
          <w:sz w:val="18"/>
        </w:rPr>
        <w:t>linkedin.com/in/adebiyi-adegboye</w:t>
      </w:r>
    </w:p>
    <w:p>
      <w:pPr>
        <w:pStyle w:val="CVSection"/>
        <w:keepNext/>
      </w:pPr>
      <w:r>
        <w:rPr>
          <w:rFonts w:ascii="Aptos" w:hAnsi="Aptos"/>
          <w:b/>
          <w:i w:val="0"/>
          <w:color w:val="000000"/>
          <w:sz w:val="24"/>
        </w:rPr>
        <w:t>EXECUTIVE PROFILE</w:t>
      </w:r>
    </w:p>
    <w:p>
      <w:pPr>
        <w:keepLines/>
        <w:spacing w:after="80"/>
      </w:pPr>
      <w:r>
        <w:rPr>
          <w:rFonts w:ascii="Aptos" w:hAnsi="Aptos"/>
          <w:b w:val="0"/>
          <w:i w:val="0"/>
          <w:color w:val="000000"/>
          <w:sz w:val="20"/>
        </w:rPr>
        <w:t>Platform Engineering Team Lead with 8+ years in cloud, DevOps and Kubernetes. Recognised technical authority for complex enterprise distributed systems and microservices platforms. Leads engineers, platform strategy, architecture and enterprise customer delivery across AWS, Azure, Kubernetes, Red Hat OpenShift and private-cloud environments. Strongest cloud depth is in AWS and EKS, supported by practical Azure and AKS delivery experience. Combines hands-on engineering with leadership across Terraform, GitOps, Argo CD, Helm, CI/CD, networking, storage, identity, security, observability and production operations. Trusted to turn ambiguous technical, regulatory and operational requirements into scalable and supportable platform solutions.</w:t>
      </w:r>
    </w:p>
    <w:p>
      <w:pPr>
        <w:pStyle w:val="CVSection"/>
        <w:keepNext/>
      </w:pPr>
      <w:r>
        <w:rPr>
          <w:rFonts w:ascii="Aptos" w:hAnsi="Aptos"/>
          <w:b/>
          <w:i w:val="0"/>
          <w:color w:val="000000"/>
          <w:sz w:val="24"/>
        </w:rPr>
        <w:t>LEADERSHIP AND TECHNICAL EXPERTISE</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184"/>
        <w:gridCol w:w="5184"/>
      </w:tblGrid>
      <w:tr>
        <w:tc>
          <w:tcPr>
            <w:tcW w:type="dxa" w:w="5184"/>
            <w:vAlign w:val="center"/>
            <w:tcMar>
              <w:top w:w="70" w:type="dxa"/>
              <w:start w:w="90" w:type="dxa"/>
              <w:bottom w:w="70" w:type="dxa"/>
              <w:end w:w="90" w:type="dxa"/>
            </w:tcMar>
            <w:shd w:fill="F2F2F2"/>
          </w:tcPr>
          <w:p>
            <w:pPr>
              <w:spacing w:after="0"/>
            </w:pPr>
            <w:r>
              <w:rPr>
                <w:rFonts w:ascii="Aptos" w:hAnsi="Aptos"/>
                <w:b/>
                <w:i w:val="0"/>
                <w:color w:val="000000"/>
                <w:sz w:val="19"/>
              </w:rPr>
              <w:t>Cloud architecture</w:t>
            </w:r>
          </w:p>
        </w:tc>
        <w:tc>
          <w:tcPr>
            <w:tcW w:type="dxa" w:w="5184"/>
            <w:vAlign w:val="center"/>
            <w:tcMar>
              <w:top w:w="70" w:type="dxa"/>
              <w:start w:w="90" w:type="dxa"/>
              <w:bottom w:w="70" w:type="dxa"/>
              <w:end w:w="90" w:type="dxa"/>
            </w:tcMar>
          </w:tcPr>
          <w:p>
            <w:pPr>
              <w:spacing w:after="0"/>
            </w:pPr>
            <w:r>
              <w:rPr>
                <w:rFonts w:ascii="Aptos" w:hAnsi="Aptos"/>
                <w:b w:val="0"/>
                <w:i w:val="0"/>
                <w:color w:val="000000"/>
                <w:sz w:val="19"/>
              </w:rPr>
              <w:t>AWS, EKS, Azure, AKS, OpenShift, ROSA and private cloud</w:t>
            </w:r>
          </w:p>
        </w:tc>
      </w:tr>
      <w:tr>
        <w:tc>
          <w:tcPr>
            <w:tcW w:type="dxa" w:w="5184"/>
            <w:vAlign w:val="center"/>
            <w:tcMar>
              <w:top w:w="70" w:type="dxa"/>
              <w:start w:w="90" w:type="dxa"/>
              <w:bottom w:w="70" w:type="dxa"/>
              <w:end w:w="90" w:type="dxa"/>
            </w:tcMar>
            <w:shd w:fill="F2F2F2"/>
          </w:tcPr>
          <w:p>
            <w:pPr>
              <w:spacing w:after="0"/>
            </w:pPr>
            <w:r>
              <w:rPr>
                <w:rFonts w:ascii="Aptos" w:hAnsi="Aptos"/>
                <w:b/>
                <w:i w:val="0"/>
                <w:color w:val="000000"/>
                <w:sz w:val="19"/>
              </w:rPr>
              <w:t>Platform engineering</w:t>
            </w:r>
          </w:p>
        </w:tc>
        <w:tc>
          <w:tcPr>
            <w:tcW w:type="dxa" w:w="5184"/>
            <w:vAlign w:val="center"/>
            <w:tcMar>
              <w:top w:w="70" w:type="dxa"/>
              <w:start w:w="90" w:type="dxa"/>
              <w:bottom w:w="70" w:type="dxa"/>
              <w:end w:w="90" w:type="dxa"/>
            </w:tcMar>
          </w:tcPr>
          <w:p>
            <w:pPr>
              <w:spacing w:after="0"/>
            </w:pPr>
            <w:r>
              <w:rPr>
                <w:rFonts w:ascii="Aptos" w:hAnsi="Aptos"/>
                <w:b w:val="0"/>
                <w:i w:val="0"/>
                <w:color w:val="000000"/>
                <w:sz w:val="19"/>
              </w:rPr>
              <w:t>Kubernetes, Terraform, Helm, GitOps, Argo CD and Istio</w:t>
            </w:r>
          </w:p>
        </w:tc>
      </w:tr>
      <w:tr>
        <w:tc>
          <w:tcPr>
            <w:tcW w:type="dxa" w:w="5184"/>
            <w:vAlign w:val="center"/>
            <w:tcMar>
              <w:top w:w="70" w:type="dxa"/>
              <w:start w:w="90" w:type="dxa"/>
              <w:bottom w:w="70" w:type="dxa"/>
              <w:end w:w="90" w:type="dxa"/>
            </w:tcMar>
            <w:shd w:fill="F2F2F2"/>
          </w:tcPr>
          <w:p>
            <w:pPr>
              <w:spacing w:after="0"/>
            </w:pPr>
            <w:r>
              <w:rPr>
                <w:rFonts w:ascii="Aptos" w:hAnsi="Aptos"/>
                <w:b/>
                <w:i w:val="0"/>
                <w:color w:val="000000"/>
                <w:sz w:val="19"/>
              </w:rPr>
              <w:t>Production operations</w:t>
            </w:r>
          </w:p>
        </w:tc>
        <w:tc>
          <w:tcPr>
            <w:tcW w:type="dxa" w:w="5184"/>
            <w:vAlign w:val="center"/>
            <w:tcMar>
              <w:top w:w="70" w:type="dxa"/>
              <w:start w:w="90" w:type="dxa"/>
              <w:bottom w:w="70" w:type="dxa"/>
              <w:end w:w="90" w:type="dxa"/>
            </w:tcMar>
          </w:tcPr>
          <w:p>
            <w:pPr>
              <w:spacing w:after="0"/>
            </w:pPr>
            <w:r>
              <w:rPr>
                <w:rFonts w:ascii="Aptos" w:hAnsi="Aptos"/>
                <w:b w:val="0"/>
                <w:i w:val="0"/>
                <w:color w:val="000000"/>
                <w:sz w:val="19"/>
              </w:rPr>
              <w:t>Networking, observability, reliability, incident response and performance</w:t>
            </w:r>
          </w:p>
        </w:tc>
      </w:tr>
      <w:tr>
        <w:tc>
          <w:tcPr>
            <w:tcW w:type="dxa" w:w="5184"/>
            <w:vAlign w:val="center"/>
            <w:tcMar>
              <w:top w:w="70" w:type="dxa"/>
              <w:start w:w="90" w:type="dxa"/>
              <w:bottom w:w="70" w:type="dxa"/>
              <w:end w:w="90" w:type="dxa"/>
            </w:tcMar>
            <w:shd w:fill="F2F2F2"/>
          </w:tcPr>
          <w:p>
            <w:pPr>
              <w:spacing w:after="0"/>
            </w:pPr>
            <w:r>
              <w:rPr>
                <w:rFonts w:ascii="Aptos" w:hAnsi="Aptos"/>
                <w:b/>
                <w:i w:val="0"/>
                <w:color w:val="000000"/>
                <w:sz w:val="19"/>
              </w:rPr>
              <w:t>Engineering leadership</w:t>
            </w:r>
          </w:p>
        </w:tc>
        <w:tc>
          <w:tcPr>
            <w:tcW w:type="dxa" w:w="5184"/>
            <w:vAlign w:val="center"/>
            <w:tcMar>
              <w:top w:w="70" w:type="dxa"/>
              <w:start w:w="90" w:type="dxa"/>
              <w:bottom w:w="70" w:type="dxa"/>
              <w:end w:w="90" w:type="dxa"/>
            </w:tcMar>
          </w:tcPr>
          <w:p>
            <w:pPr>
              <w:spacing w:after="0"/>
            </w:pPr>
            <w:r>
              <w:rPr>
                <w:rFonts w:ascii="Aptos" w:hAnsi="Aptos"/>
                <w:b w:val="0"/>
                <w:i w:val="0"/>
                <w:color w:val="000000"/>
                <w:sz w:val="19"/>
              </w:rPr>
              <w:t>Team leadership, hiring, mentoring, customers and senior stakeholders</w:t>
            </w:r>
          </w:p>
        </w:tc>
      </w:tr>
    </w:tbl>
    <w:p>
      <w:pPr>
        <w:pStyle w:val="CVSection"/>
        <w:keepNext/>
      </w:pPr>
      <w:r>
        <w:rPr>
          <w:rFonts w:ascii="Aptos" w:hAnsi="Aptos"/>
          <w:b/>
          <w:i w:val="0"/>
          <w:color w:val="000000"/>
          <w:sz w:val="24"/>
        </w:rPr>
        <w:t>PROFESSIONAL EXPERIENCE</w:t>
      </w:r>
    </w:p>
    <w:tbl>
      <w:tblPr>
        <w:tblW w:type="auto" w:w="0"/>
        <w:tblLayout w:type="fixed"/>
        <w:tblLook w:firstColumn="1" w:firstRow="1" w:lastColumn="0" w:lastRow="0" w:noHBand="0" w:noVBand="1" w:val="04A0"/>
      </w:tblPr>
      <w:tblGrid>
        <w:gridCol w:w="7992"/>
        <w:gridCol w:w="2376"/>
      </w:tblGrid>
      <w:tr>
        <w:tc>
          <w:tcPr>
            <w:tcW w:type="dxa" w:w="5184"/>
            <w:vAlign w:val="center"/>
            <w:tcMar>
              <w:top w:w="20" w:type="dxa"/>
              <w:start w:w="0" w:type="dxa"/>
              <w:bottom w:w="15" w:type="dxa"/>
              <w:end w:w="0" w:type="dxa"/>
            </w:tcMar>
          </w:tcPr>
          <w:p>
            <w:pPr>
              <w:spacing w:after="0"/>
            </w:pPr>
            <w:r>
              <w:rPr>
                <w:rFonts w:ascii="Aptos" w:hAnsi="Aptos"/>
                <w:b/>
                <w:i w:val="0"/>
                <w:color w:val="000000"/>
                <w:sz w:val="22"/>
              </w:rPr>
              <w:t>GRESHAM</w:t>
            </w:r>
            <w:r>
              <w:rPr>
                <w:rFonts w:ascii="Aptos" w:hAnsi="Aptos"/>
                <w:b w:val="0"/>
                <w:i w:val="0"/>
                <w:color w:val="696969"/>
                <w:sz w:val="22"/>
              </w:rPr>
              <w:t xml:space="preserve">  |  </w:t>
            </w:r>
            <w:r>
              <w:rPr>
                <w:rFonts w:ascii="Aptos" w:hAnsi="Aptos"/>
                <w:b/>
                <w:i w:val="0"/>
                <w:color w:val="000000"/>
                <w:sz w:val="22"/>
              </w:rPr>
              <w:t>Platform Engineering Team Lead</w:t>
            </w:r>
          </w:p>
        </w:tc>
        <w:tc>
          <w:tcPr>
            <w:tcW w:type="dxa" w:w="5184"/>
            <w:vAlign w:val="center"/>
            <w:tcMar>
              <w:top w:w="20" w:type="dxa"/>
              <w:start w:w="0" w:type="dxa"/>
              <w:bottom w:w="15" w:type="dxa"/>
              <w:end w:w="0" w:type="dxa"/>
            </w:tcMar>
          </w:tcPr>
          <w:p>
            <w:pPr>
              <w:spacing w:after="0"/>
              <w:jc w:val="right"/>
            </w:pPr>
            <w:r>
              <w:rPr>
                <w:rFonts w:ascii="Aptos" w:hAnsi="Aptos"/>
                <w:b/>
                <w:i w:val="0"/>
                <w:color w:val="000000"/>
                <w:sz w:val="19"/>
              </w:rPr>
              <w:t>Apr 2025 - Present</w:t>
            </w:r>
          </w:p>
        </w:tc>
      </w:tr>
    </w:tbl>
    <w:p>
      <w:pPr>
        <w:keepNext/>
        <w:spacing w:after="60"/>
      </w:pPr>
      <w:r>
        <w:rPr>
          <w:rFonts w:ascii="Aptos" w:hAnsi="Aptos"/>
          <w:b w:val="0"/>
          <w:i/>
          <w:color w:val="484848"/>
          <w:sz w:val="18"/>
        </w:rPr>
        <w:t>Lead for distributed systems and microservices platform engineering across managed and customer-hosted environments.</w:t>
      </w:r>
    </w:p>
    <w:p>
      <w:pPr>
        <w:pStyle w:val="CVBullet"/>
        <w:keepLines/>
      </w:pPr>
      <w:r>
        <w:rPr>
          <w:rFonts w:ascii="Aptos" w:hAnsi="Aptos"/>
          <w:b/>
          <w:i w:val="0"/>
          <w:color w:val="000000"/>
          <w:sz w:val="20"/>
        </w:rPr>
        <w:t xml:space="preserve">•  Function leadership: </w:t>
      </w:r>
      <w:r>
        <w:rPr>
          <w:rFonts w:ascii="Aptos" w:hAnsi="Aptos"/>
          <w:b w:val="0"/>
          <w:i w:val="0"/>
          <w:color w:val="000000"/>
          <w:sz w:val="20"/>
        </w:rPr>
        <w:t>Own platform capability and customer outcomes across managed-services and customer-hosted environments, leading two direct reports while setting priorities, mentoring engineers and reviewing designs.</w:t>
      </w:r>
    </w:p>
    <w:p>
      <w:pPr>
        <w:pStyle w:val="CVBullet"/>
        <w:keepLines/>
      </w:pPr>
      <w:r>
        <w:rPr>
          <w:rFonts w:ascii="Aptos" w:hAnsi="Aptos"/>
          <w:b/>
          <w:i w:val="0"/>
          <w:color w:val="000000"/>
          <w:sz w:val="20"/>
        </w:rPr>
        <w:t xml:space="preserve">•  Multi-platform architecture: </w:t>
      </w:r>
      <w:r>
        <w:rPr>
          <w:rFonts w:ascii="Aptos" w:hAnsi="Aptos"/>
          <w:b w:val="0"/>
          <w:i w:val="0"/>
          <w:color w:val="000000"/>
          <w:sz w:val="20"/>
        </w:rPr>
        <w:t>Define and govern distributed-system deployment patterns across AWS EKS, Azure AKS, Red Hat OpenShift/ROSA, private cloud and on-premises Kubernetes, including networking, storage, identity, security and observability.</w:t>
      </w:r>
    </w:p>
    <w:p>
      <w:pPr>
        <w:pStyle w:val="CVBullet"/>
        <w:keepLines/>
      </w:pPr>
      <w:r>
        <w:rPr>
          <w:rFonts w:ascii="Aptos" w:hAnsi="Aptos"/>
          <w:b/>
          <w:i w:val="0"/>
          <w:color w:val="000000"/>
          <w:sz w:val="20"/>
        </w:rPr>
        <w:t xml:space="preserve">•  Platform strategy: </w:t>
      </w:r>
      <w:r>
        <w:rPr>
          <w:rFonts w:ascii="Aptos" w:hAnsi="Aptos"/>
          <w:b w:val="0"/>
          <w:i w:val="0"/>
          <w:color w:val="000000"/>
          <w:sz w:val="20"/>
        </w:rPr>
        <w:t>Drive standardisation across Terraform, Helm, Argo CD, CI/CD and GitOps, defining a productised delivery model spanning managed-services and customer-hosted operating boundaries.</w:t>
      </w:r>
    </w:p>
    <w:p>
      <w:pPr>
        <w:pStyle w:val="CVBullet"/>
        <w:keepLines/>
      </w:pPr>
      <w:r>
        <w:rPr>
          <w:rFonts w:ascii="Aptos" w:hAnsi="Aptos"/>
          <w:b/>
          <w:i w:val="0"/>
          <w:color w:val="000000"/>
          <w:sz w:val="20"/>
        </w:rPr>
        <w:t xml:space="preserve">•  Operational leadership: </w:t>
      </w:r>
      <w:r>
        <w:rPr>
          <w:rFonts w:ascii="Aptos" w:hAnsi="Aptos"/>
          <w:b w:val="0"/>
          <w:i w:val="0"/>
          <w:color w:val="000000"/>
          <w:sz w:val="20"/>
        </w:rPr>
        <w:t>Lead complex production diagnosis and root-cause analysis across applications, Kubernetes, cloud infrastructure, networking, storage, Kafka and Cassandra dependencies, coordinating engineers and customer stakeholders.</w:t>
      </w:r>
    </w:p>
    <w:p>
      <w:pPr>
        <w:pStyle w:val="CVBullet"/>
        <w:keepLines/>
      </w:pPr>
      <w:r>
        <w:rPr>
          <w:rFonts w:ascii="Aptos" w:hAnsi="Aptos"/>
          <w:b/>
          <w:i w:val="0"/>
          <w:color w:val="000000"/>
          <w:sz w:val="20"/>
        </w:rPr>
        <w:t xml:space="preserve">•  Stakeholder and talent leadership: </w:t>
      </w:r>
      <w:r>
        <w:rPr>
          <w:rFonts w:ascii="Aptos" w:hAnsi="Aptos"/>
          <w:b w:val="0"/>
          <w:i w:val="0"/>
          <w:color w:val="000000"/>
          <w:sz w:val="20"/>
        </w:rPr>
        <w:t>Act as hiring manager and technical interviewer for Platform Engineering, while contributing to architecture, pre-sales, statements of work, customer risk decisions and senior stakeholder communication.</w:t>
      </w:r>
    </w:p>
    <w:p>
      <w:pPr>
        <w:pStyle w:val="CVSection"/>
        <w:keepNext/>
      </w:pPr>
      <w:r>
        <w:rPr>
          <w:rFonts w:ascii="Aptos" w:hAnsi="Aptos"/>
          <w:b/>
          <w:i w:val="0"/>
          <w:color w:val="000000"/>
          <w:sz w:val="24"/>
        </w:rPr>
        <w:t>SELECTED PLATFORM PROJECTS</w:t>
      </w:r>
    </w:p>
    <w:p>
      <w:pPr>
        <w:keepLines/>
        <w:spacing w:after="60"/>
      </w:pPr>
      <w:r>
        <w:rPr>
          <w:rFonts w:ascii="Aptos" w:hAnsi="Aptos"/>
          <w:b/>
          <w:i w:val="0"/>
          <w:color w:val="000000"/>
          <w:sz w:val="20"/>
        </w:rPr>
        <w:t xml:space="preserve">Azure Platform Architecture and Delivery  </w:t>
      </w:r>
      <w:r>
        <w:rPr>
          <w:rFonts w:ascii="Aptos" w:hAnsi="Aptos"/>
          <w:b w:val="0"/>
          <w:i w:val="0"/>
          <w:color w:val="000000"/>
          <w:sz w:val="20"/>
        </w:rPr>
        <w:t>Architected and delivered the complete enterprise platform on Microsoft Azure, translating a distributed microservices architecture into a secure, production-ready AKS environment spanning cloud infrastructure, networking, identity, deployment automation, observability and operational support. Later led the JVM memory-retention RCA and service mitigation.</w:t>
      </w:r>
    </w:p>
    <w:p>
      <w:pPr>
        <w:keepLines/>
        <w:spacing w:after="40"/>
      </w:pPr>
      <w:r>
        <w:rPr>
          <w:rFonts w:ascii="Aptos" w:hAnsi="Aptos"/>
          <w:b/>
          <w:i w:val="0"/>
          <w:color w:val="000000"/>
          <w:sz w:val="20"/>
        </w:rPr>
        <w:t xml:space="preserve">Enterprise Microservices Deployment  </w:t>
      </w:r>
      <w:r>
        <w:rPr>
          <w:rFonts w:ascii="Aptos" w:hAnsi="Aptos"/>
          <w:b w:val="0"/>
          <w:i w:val="0"/>
          <w:color w:val="000000"/>
          <w:sz w:val="20"/>
        </w:rPr>
        <w:t>Shaped the delivery model for approximately 30 microservices, covering reusable Helm packaging, container-registry access, Kubernetes readiness, users and roles, Entra ID SSO, release governance, operational support boundaries and handover.</w:t>
      </w:r>
    </w:p>
    <w:p>
      <w:pPr>
        <w:keepLines/>
        <w:spacing w:after="60"/>
      </w:pPr>
      <w:r>
        <w:rPr>
          <w:rFonts w:ascii="Aptos" w:hAnsi="Aptos"/>
          <w:b/>
          <w:i w:val="0"/>
          <w:color w:val="000000"/>
          <w:sz w:val="20"/>
        </w:rPr>
        <w:t xml:space="preserve">Regulated Enterprise Platform Delivery  </w:t>
      </w:r>
      <w:r>
        <w:rPr>
          <w:rFonts w:ascii="Aptos" w:hAnsi="Aptos"/>
          <w:b w:val="0"/>
          <w:i w:val="0"/>
          <w:color w:val="000000"/>
          <w:sz w:val="20"/>
        </w:rPr>
        <w:t>Led platform architecture and delivery planning for public-sector financial institutions, covering Kubernetes readiness, infrastructure sizing and dependencies, security constraints, customer engagement and technical risk management.</w:t>
      </w:r>
    </w:p>
    <w:p>
      <w:pPr>
        <w:keepLines/>
        <w:spacing w:after="40"/>
      </w:pPr>
      <w:r>
        <w:rPr>
          <w:rFonts w:ascii="Aptos" w:hAnsi="Aptos"/>
          <w:b/>
          <w:i w:val="0"/>
          <w:color w:val="000000"/>
          <w:sz w:val="20"/>
        </w:rPr>
        <w:t xml:space="preserve">Distributed Financial Data Platform  </w:t>
      </w:r>
      <w:r>
        <w:rPr>
          <w:rFonts w:ascii="Aptos" w:hAnsi="Aptos"/>
          <w:b w:val="0"/>
          <w:i w:val="0"/>
          <w:color w:val="000000"/>
          <w:sz w:val="20"/>
        </w:rPr>
        <w:t>Lead architecture and delivery of a distributed financial-data platform comprising independently deployable microservices, Kafka, Cassandra and relational services across AWS, Azure, OpenShift, private-cloud and on-premises estates.</w:t>
      </w:r>
    </w:p>
    <w:p>
      <w:r>
        <w:br w:type="page"/>
      </w:r>
    </w:p>
    <w:p>
      <w:pPr>
        <w:pStyle w:val="CVSection"/>
        <w:keepNext/>
      </w:pPr>
      <w:r>
        <w:rPr>
          <w:rFonts w:ascii="Aptos" w:hAnsi="Aptos"/>
          <w:b/>
          <w:i w:val="0"/>
          <w:color w:val="000000"/>
          <w:sz w:val="24"/>
        </w:rPr>
        <w:t>EARLIER EXPERIENCE</w:t>
      </w:r>
    </w:p>
    <w:tbl>
      <w:tblPr>
        <w:tblW w:type="auto" w:w="0"/>
        <w:tblLayout w:type="fixed"/>
        <w:tblLook w:firstColumn="1" w:firstRow="1" w:lastColumn="0" w:lastRow="0" w:noHBand="0" w:noVBand="1" w:val="04A0"/>
      </w:tblPr>
      <w:tblGrid>
        <w:gridCol w:w="7992"/>
        <w:gridCol w:w="2376"/>
      </w:tblGrid>
      <w:tr>
        <w:tc>
          <w:tcPr>
            <w:tcW w:type="dxa" w:w="5184"/>
            <w:vAlign w:val="center"/>
            <w:tcMar>
              <w:top w:w="20" w:type="dxa"/>
              <w:start w:w="0" w:type="dxa"/>
              <w:bottom w:w="15" w:type="dxa"/>
              <w:end w:w="0" w:type="dxa"/>
            </w:tcMar>
          </w:tcPr>
          <w:p>
            <w:pPr>
              <w:spacing w:after="0"/>
            </w:pPr>
            <w:r>
              <w:rPr>
                <w:rFonts w:ascii="Aptos" w:hAnsi="Aptos"/>
                <w:b/>
                <w:i w:val="0"/>
                <w:color w:val="000000"/>
                <w:sz w:val="22"/>
              </w:rPr>
              <w:t>ALVEO TECHNOLOGY</w:t>
            </w:r>
            <w:r>
              <w:rPr>
                <w:rFonts w:ascii="Aptos" w:hAnsi="Aptos"/>
                <w:b w:val="0"/>
                <w:i w:val="0"/>
                <w:color w:val="696969"/>
                <w:sz w:val="22"/>
              </w:rPr>
              <w:t xml:space="preserve">  |  </w:t>
            </w:r>
            <w:r>
              <w:rPr>
                <w:rFonts w:ascii="Aptos" w:hAnsi="Aptos"/>
                <w:b/>
                <w:i w:val="0"/>
                <w:color w:val="000000"/>
                <w:sz w:val="22"/>
              </w:rPr>
              <w:t>Cloud/DevOps Engineer</w:t>
            </w:r>
          </w:p>
        </w:tc>
        <w:tc>
          <w:tcPr>
            <w:tcW w:type="dxa" w:w="5184"/>
            <w:vAlign w:val="center"/>
            <w:tcMar>
              <w:top w:w="20" w:type="dxa"/>
              <w:start w:w="0" w:type="dxa"/>
              <w:bottom w:w="15" w:type="dxa"/>
              <w:end w:w="0" w:type="dxa"/>
            </w:tcMar>
          </w:tcPr>
          <w:p>
            <w:pPr>
              <w:spacing w:after="0"/>
              <w:jc w:val="right"/>
            </w:pPr>
            <w:r>
              <w:rPr>
                <w:rFonts w:ascii="Aptos" w:hAnsi="Aptos"/>
                <w:b/>
                <w:i w:val="0"/>
                <w:color w:val="000000"/>
                <w:sz w:val="19"/>
              </w:rPr>
              <w:t>Feb 2023 - Mar 2025</w:t>
            </w:r>
          </w:p>
        </w:tc>
      </w:tr>
    </w:tbl>
    <w:p>
      <w:pPr>
        <w:pStyle w:val="CVBullet"/>
        <w:keepLines/>
      </w:pPr>
      <w:r>
        <w:rPr>
          <w:rFonts w:ascii="Aptos" w:hAnsi="Aptos"/>
          <w:b/>
          <w:i w:val="0"/>
          <w:color w:val="000000"/>
          <w:sz w:val="20"/>
        </w:rPr>
        <w:t xml:space="preserve">•  GitOps and CI/CD: </w:t>
      </w:r>
      <w:r>
        <w:rPr>
          <w:rFonts w:ascii="Aptos" w:hAnsi="Aptos"/>
          <w:b w:val="0"/>
          <w:i w:val="0"/>
          <w:color w:val="000000"/>
          <w:sz w:val="20"/>
        </w:rPr>
        <w:t>Optimised GitOps workflows and CI/CD pipelines, reducing deployment time by 30% while improving release consistency and traceability.</w:t>
      </w:r>
    </w:p>
    <w:p>
      <w:pPr>
        <w:pStyle w:val="CVBullet"/>
        <w:keepLines/>
      </w:pPr>
      <w:r>
        <w:rPr>
          <w:rFonts w:ascii="Aptos" w:hAnsi="Aptos"/>
          <w:b/>
          <w:i w:val="0"/>
          <w:color w:val="000000"/>
          <w:sz w:val="20"/>
        </w:rPr>
        <w:t xml:space="preserve">•  Kubernetes reliability: </w:t>
      </w:r>
      <w:r>
        <w:rPr>
          <w:rFonts w:ascii="Aptos" w:hAnsi="Aptos"/>
          <w:b w:val="0"/>
          <w:i w:val="0"/>
          <w:color w:val="000000"/>
          <w:sz w:val="20"/>
        </w:rPr>
        <w:t>Deployed Istio service mesh on EKS with automatic retries for failed requests, improving application reliability and reducing downtime by 20%.</w:t>
      </w:r>
    </w:p>
    <w:p>
      <w:pPr>
        <w:pStyle w:val="CVBullet"/>
        <w:keepLines/>
      </w:pPr>
      <w:r>
        <w:rPr>
          <w:rFonts w:ascii="Aptos" w:hAnsi="Aptos"/>
          <w:b/>
          <w:i w:val="0"/>
          <w:color w:val="000000"/>
          <w:sz w:val="20"/>
        </w:rPr>
        <w:t xml:space="preserve">•  Deployment standardisation: </w:t>
      </w:r>
      <w:r>
        <w:rPr>
          <w:rFonts w:ascii="Aptos" w:hAnsi="Aptos"/>
          <w:b w:val="0"/>
          <w:i w:val="0"/>
          <w:color w:val="000000"/>
          <w:sz w:val="20"/>
        </w:rPr>
        <w:t>Created reusable Helm charts that reduced manual configuration work by 75%, and built an operational knowledge base that improved team efficiency by 30% and reduced support errors by 20%.</w:t>
      </w:r>
    </w:p>
    <w:p>
      <w:pPr>
        <w:pStyle w:val="CVBullet"/>
        <w:keepLines/>
      </w:pPr>
      <w:r>
        <w:rPr>
          <w:rFonts w:ascii="Aptos" w:hAnsi="Aptos"/>
          <w:b/>
          <w:i w:val="0"/>
          <w:color w:val="000000"/>
          <w:sz w:val="20"/>
        </w:rPr>
        <w:t xml:space="preserve">•  Cloud cost management: </w:t>
      </w:r>
      <w:r>
        <w:rPr>
          <w:rFonts w:ascii="Aptos" w:hAnsi="Aptos"/>
          <w:b w:val="0"/>
          <w:i w:val="0"/>
          <w:color w:val="000000"/>
          <w:sz w:val="20"/>
        </w:rPr>
        <w:t>Implemented Kubecost-led optimisation strategies that reduced cloud costs by 20% and improved visibility of Kubernetes resource consumption.</w:t>
      </w:r>
    </w:p>
    <w:p>
      <w:pPr>
        <w:spacing w:after="20"/>
      </w:pPr>
      <w:r>
        <w:rPr>
          <w:rFonts w:ascii="Aptos" w:hAnsi="Aptos"/>
          <w:b w:val="0"/>
          <w:i w:val="0"/>
          <w:color w:val="000000"/>
          <w:sz w:val="4"/>
        </w:rPr>
        <w:t xml:space="preserve"> </w:t>
      </w:r>
    </w:p>
    <w:tbl>
      <w:tblPr>
        <w:tblW w:type="auto" w:w="0"/>
        <w:tblLayout w:type="fixed"/>
        <w:tblLook w:firstColumn="1" w:firstRow="1" w:lastColumn="0" w:lastRow="0" w:noHBand="0" w:noVBand="1" w:val="04A0"/>
      </w:tblPr>
      <w:tblGrid>
        <w:gridCol w:w="7992"/>
        <w:gridCol w:w="2376"/>
      </w:tblGrid>
      <w:tr>
        <w:tc>
          <w:tcPr>
            <w:tcW w:type="dxa" w:w="5184"/>
            <w:vAlign w:val="center"/>
            <w:tcMar>
              <w:top w:w="20" w:type="dxa"/>
              <w:start w:w="0" w:type="dxa"/>
              <w:bottom w:w="15" w:type="dxa"/>
              <w:end w:w="0" w:type="dxa"/>
            </w:tcMar>
          </w:tcPr>
          <w:p>
            <w:pPr>
              <w:spacing w:after="0"/>
            </w:pPr>
            <w:r>
              <w:rPr>
                <w:rFonts w:ascii="Aptos" w:hAnsi="Aptos"/>
                <w:b/>
                <w:i w:val="0"/>
                <w:color w:val="000000"/>
                <w:sz w:val="22"/>
              </w:rPr>
              <w:t>AUDEO</w:t>
            </w:r>
            <w:r>
              <w:rPr>
                <w:rFonts w:ascii="Aptos" w:hAnsi="Aptos"/>
                <w:b w:val="0"/>
                <w:i w:val="0"/>
                <w:color w:val="696969"/>
                <w:sz w:val="22"/>
              </w:rPr>
              <w:t xml:space="preserve">  |  </w:t>
            </w:r>
            <w:r>
              <w:rPr>
                <w:rFonts w:ascii="Aptos" w:hAnsi="Aptos"/>
                <w:b/>
                <w:i w:val="0"/>
                <w:color w:val="000000"/>
                <w:sz w:val="22"/>
              </w:rPr>
              <w:t>DevOps Engineer</w:t>
            </w:r>
          </w:p>
        </w:tc>
        <w:tc>
          <w:tcPr>
            <w:tcW w:type="dxa" w:w="5184"/>
            <w:vAlign w:val="center"/>
            <w:tcMar>
              <w:top w:w="20" w:type="dxa"/>
              <w:start w:w="0" w:type="dxa"/>
              <w:bottom w:w="15" w:type="dxa"/>
              <w:end w:w="0" w:type="dxa"/>
            </w:tcMar>
          </w:tcPr>
          <w:p>
            <w:pPr>
              <w:spacing w:after="0"/>
              <w:jc w:val="right"/>
            </w:pPr>
            <w:r>
              <w:rPr>
                <w:rFonts w:ascii="Aptos" w:hAnsi="Aptos"/>
                <w:b/>
                <w:i w:val="0"/>
                <w:color w:val="000000"/>
                <w:sz w:val="19"/>
              </w:rPr>
              <w:t>Nov 2020 - Jan 2023</w:t>
            </w:r>
          </w:p>
        </w:tc>
      </w:tr>
    </w:tbl>
    <w:p>
      <w:pPr>
        <w:pStyle w:val="CVBullet"/>
        <w:keepLines/>
      </w:pPr>
      <w:r>
        <w:rPr>
          <w:rFonts w:ascii="Aptos" w:hAnsi="Aptos"/>
          <w:b/>
          <w:i w:val="0"/>
          <w:color w:val="000000"/>
          <w:sz w:val="20"/>
        </w:rPr>
        <w:t xml:space="preserve">•  Delivery automation: </w:t>
      </w:r>
      <w:r>
        <w:rPr>
          <w:rFonts w:ascii="Aptos" w:hAnsi="Aptos"/>
          <w:b w:val="0"/>
          <w:i w:val="0"/>
          <w:color w:val="000000"/>
          <w:sz w:val="20"/>
        </w:rPr>
        <w:t>Built complex Jenkins pipelines integrated with Git, Maven, Nexus, Docker, Kubernetes and Helm, removing approximately 70% of manual build and deployment work.</w:t>
      </w:r>
    </w:p>
    <w:p>
      <w:pPr>
        <w:pStyle w:val="CVBullet"/>
        <w:keepLines/>
      </w:pPr>
      <w:r>
        <w:rPr>
          <w:rFonts w:ascii="Aptos" w:hAnsi="Aptos"/>
          <w:b/>
          <w:i w:val="0"/>
          <w:color w:val="000000"/>
          <w:sz w:val="20"/>
        </w:rPr>
        <w:t xml:space="preserve">•  Infrastructure as code: </w:t>
      </w:r>
      <w:r>
        <w:rPr>
          <w:rFonts w:ascii="Aptos" w:hAnsi="Aptos"/>
          <w:b w:val="0"/>
          <w:i w:val="0"/>
          <w:color w:val="000000"/>
          <w:sz w:val="20"/>
        </w:rPr>
        <w:t>Developed reusable Terraform components to provision and configure AWS infrastructure consistently across engineering, test, production, update and patch cycles.</w:t>
      </w:r>
    </w:p>
    <w:p>
      <w:pPr>
        <w:pStyle w:val="CVBullet"/>
        <w:keepLines/>
      </w:pPr>
      <w:r>
        <w:rPr>
          <w:rFonts w:ascii="Aptos" w:hAnsi="Aptos"/>
          <w:b/>
          <w:i w:val="0"/>
          <w:color w:val="000000"/>
          <w:sz w:val="20"/>
        </w:rPr>
        <w:t xml:space="preserve">•  AWS operations: </w:t>
      </w:r>
      <w:r>
        <w:rPr>
          <w:rFonts w:ascii="Aptos" w:hAnsi="Aptos"/>
          <w:b w:val="0"/>
          <w:i w:val="0"/>
          <w:color w:val="000000"/>
          <w:sz w:val="20"/>
        </w:rPr>
        <w:t>Managed EC2, EKS and Lambda services, including backup, patching, scaling and production support, with Kubernetes monitoring through Prometheus and Grafana.</w:t>
      </w:r>
    </w:p>
    <w:p>
      <w:pPr>
        <w:pStyle w:val="CVBullet"/>
        <w:keepLines/>
      </w:pPr>
      <w:r>
        <w:rPr>
          <w:rFonts w:ascii="Aptos" w:hAnsi="Aptos"/>
          <w:b/>
          <w:i w:val="0"/>
          <w:color w:val="000000"/>
          <w:sz w:val="20"/>
        </w:rPr>
        <w:t xml:space="preserve">•  Container platforms: </w:t>
      </w:r>
      <w:r>
        <w:rPr>
          <w:rFonts w:ascii="Aptos" w:hAnsi="Aptos"/>
          <w:b w:val="0"/>
          <w:i w:val="0"/>
          <w:color w:val="000000"/>
          <w:sz w:val="20"/>
        </w:rPr>
        <w:t>Containerised monolithic applications and supported their evolution toward microservices, using Kubernetes deployment patterns including blue-green and canary releases.</w:t>
      </w:r>
    </w:p>
    <w:p>
      <w:pPr>
        <w:spacing w:after="20"/>
      </w:pPr>
      <w:r>
        <w:rPr>
          <w:rFonts w:ascii="Aptos" w:hAnsi="Aptos"/>
          <w:b w:val="0"/>
          <w:i w:val="0"/>
          <w:color w:val="000000"/>
          <w:sz w:val="4"/>
        </w:rPr>
        <w:t xml:space="preserve"> </w:t>
      </w:r>
    </w:p>
    <w:tbl>
      <w:tblPr>
        <w:tblW w:type="auto" w:w="0"/>
        <w:tblLayout w:type="fixed"/>
        <w:tblLook w:firstColumn="1" w:firstRow="1" w:lastColumn="0" w:lastRow="0" w:noHBand="0" w:noVBand="1" w:val="04A0"/>
      </w:tblPr>
      <w:tblGrid>
        <w:gridCol w:w="7992"/>
        <w:gridCol w:w="2376"/>
      </w:tblGrid>
      <w:tr>
        <w:tc>
          <w:tcPr>
            <w:tcW w:type="dxa" w:w="5184"/>
            <w:vAlign w:val="center"/>
            <w:tcMar>
              <w:top w:w="20" w:type="dxa"/>
              <w:start w:w="0" w:type="dxa"/>
              <w:bottom w:w="15" w:type="dxa"/>
              <w:end w:w="0" w:type="dxa"/>
            </w:tcMar>
          </w:tcPr>
          <w:p>
            <w:pPr>
              <w:spacing w:after="0"/>
            </w:pPr>
            <w:r>
              <w:rPr>
                <w:rFonts w:ascii="Aptos" w:hAnsi="Aptos"/>
                <w:b/>
                <w:i w:val="0"/>
                <w:color w:val="000000"/>
                <w:sz w:val="22"/>
              </w:rPr>
              <w:t>TLS LOGISTICS</w:t>
            </w:r>
            <w:r>
              <w:rPr>
                <w:rFonts w:ascii="Aptos" w:hAnsi="Aptos"/>
                <w:b w:val="0"/>
                <w:i w:val="0"/>
                <w:color w:val="696969"/>
                <w:sz w:val="22"/>
              </w:rPr>
              <w:t xml:space="preserve">  |  </w:t>
            </w:r>
            <w:r>
              <w:rPr>
                <w:rFonts w:ascii="Aptos" w:hAnsi="Aptos"/>
                <w:b/>
                <w:i w:val="0"/>
                <w:color w:val="000000"/>
                <w:sz w:val="22"/>
              </w:rPr>
              <w:t>Software Engineer</w:t>
            </w:r>
          </w:p>
        </w:tc>
        <w:tc>
          <w:tcPr>
            <w:tcW w:type="dxa" w:w="5184"/>
            <w:vAlign w:val="center"/>
            <w:tcMar>
              <w:top w:w="20" w:type="dxa"/>
              <w:start w:w="0" w:type="dxa"/>
              <w:bottom w:w="15" w:type="dxa"/>
              <w:end w:w="0" w:type="dxa"/>
            </w:tcMar>
          </w:tcPr>
          <w:p>
            <w:pPr>
              <w:spacing w:after="0"/>
              <w:jc w:val="right"/>
            </w:pPr>
            <w:r>
              <w:rPr>
                <w:rFonts w:ascii="Aptos" w:hAnsi="Aptos"/>
                <w:b/>
                <w:i w:val="0"/>
                <w:color w:val="000000"/>
                <w:sz w:val="19"/>
              </w:rPr>
              <w:t>Mar 2018 - Oct 2020</w:t>
            </w:r>
          </w:p>
        </w:tc>
      </w:tr>
    </w:tbl>
    <w:p>
      <w:pPr>
        <w:pStyle w:val="CVBullet"/>
        <w:keepLines/>
      </w:pPr>
      <w:r>
        <w:rPr>
          <w:rFonts w:ascii="Aptos" w:hAnsi="Aptos"/>
          <w:b/>
          <w:i w:val="0"/>
          <w:color w:val="000000"/>
          <w:sz w:val="20"/>
        </w:rPr>
        <w:t xml:space="preserve">•  Software engineering: </w:t>
      </w:r>
      <w:r>
        <w:rPr>
          <w:rFonts w:ascii="Aptos" w:hAnsi="Aptos"/>
          <w:b w:val="0"/>
          <w:i w:val="0"/>
          <w:color w:val="000000"/>
          <w:sz w:val="20"/>
        </w:rPr>
        <w:t>Built applications and REST APIs using Java, JavaScript, MySQL and MongoDB, increasing automated test coverage by 20% with JUnit and Mockito.</w:t>
      </w:r>
    </w:p>
    <w:p>
      <w:pPr>
        <w:pStyle w:val="CVBullet"/>
        <w:keepLines/>
      </w:pPr>
      <w:r>
        <w:rPr>
          <w:rFonts w:ascii="Aptos" w:hAnsi="Aptos"/>
          <w:b/>
          <w:i w:val="0"/>
          <w:color w:val="000000"/>
          <w:sz w:val="20"/>
        </w:rPr>
        <w:t xml:space="preserve">•  Delivery improvement: </w:t>
      </w:r>
      <w:r>
        <w:rPr>
          <w:rFonts w:ascii="Aptos" w:hAnsi="Aptos"/>
          <w:b w:val="0"/>
          <w:i w:val="0"/>
          <w:color w:val="000000"/>
          <w:sz w:val="20"/>
        </w:rPr>
        <w:t>Used message-oriented middleware, service-oriented architecture and CI/CD tooling to reduce the time required to release code changes by 30%.</w:t>
      </w:r>
    </w:p>
    <w:p>
      <w:pPr>
        <w:pStyle w:val="CVBullet"/>
        <w:keepLines/>
      </w:pPr>
      <w:r>
        <w:rPr>
          <w:rFonts w:ascii="Aptos" w:hAnsi="Aptos"/>
          <w:b/>
          <w:i w:val="0"/>
          <w:color w:val="000000"/>
          <w:sz w:val="20"/>
        </w:rPr>
        <w:t xml:space="preserve">•  Security improvement: </w:t>
      </w:r>
      <w:r>
        <w:rPr>
          <w:rFonts w:ascii="Aptos" w:hAnsi="Aptos"/>
          <w:b w:val="0"/>
          <w:i w:val="0"/>
          <w:color w:val="000000"/>
          <w:sz w:val="20"/>
        </w:rPr>
        <w:t>Contributed to engineering measures that reduced security breaches by an average of 83% across client environments.</w:t>
      </w:r>
    </w:p>
    <w:p>
      <w:pPr>
        <w:pStyle w:val="CVBullet"/>
        <w:keepLines/>
      </w:pPr>
      <w:r>
        <w:rPr>
          <w:rFonts w:ascii="Aptos" w:hAnsi="Aptos"/>
          <w:b/>
          <w:i w:val="0"/>
          <w:color w:val="000000"/>
          <w:sz w:val="20"/>
        </w:rPr>
        <w:t xml:space="preserve">•  Team and stakeholders: </w:t>
      </w:r>
      <w:r>
        <w:rPr>
          <w:rFonts w:ascii="Aptos" w:hAnsi="Aptos"/>
          <w:b w:val="0"/>
          <w:i w:val="0"/>
          <w:color w:val="000000"/>
          <w:sz w:val="20"/>
        </w:rPr>
        <w:t>Worked in a team of six engineers across 10 bespoke client projects, partnering with product managers to turn product requirements into well-scoped user stories.</w:t>
      </w:r>
    </w:p>
    <w:p>
      <w:pPr>
        <w:pStyle w:val="CVSection"/>
        <w:keepNext/>
      </w:pPr>
      <w:r>
        <w:rPr>
          <w:rFonts w:ascii="Aptos" w:hAnsi="Aptos"/>
          <w:b/>
          <w:i w:val="0"/>
          <w:color w:val="000000"/>
          <w:sz w:val="24"/>
        </w:rPr>
        <w:t>TECHNOLOGY</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31"/>
        <w:gridCol w:w="8237"/>
      </w:tblGrid>
      <w:tr>
        <w:tc>
          <w:tcPr>
            <w:tcW w:type="dxa" w:w="5184"/>
            <w:vAlign w:val="center"/>
            <w:tcMar>
              <w:top w:w="55" w:type="dxa"/>
              <w:start w:w="85" w:type="dxa"/>
              <w:bottom w:w="55" w:type="dxa"/>
              <w:end w:w="85" w:type="dxa"/>
            </w:tcMar>
            <w:shd w:fill="F2F2F2"/>
          </w:tcPr>
          <w:p>
            <w:pPr>
              <w:spacing w:after="0"/>
            </w:pPr>
            <w:r>
              <w:rPr>
                <w:rFonts w:ascii="Aptos" w:hAnsi="Aptos"/>
                <w:b/>
                <w:i w:val="0"/>
                <w:color w:val="000000"/>
                <w:sz w:val="18"/>
              </w:rPr>
              <w:t>Cloud</w:t>
            </w:r>
          </w:p>
        </w:tc>
        <w:tc>
          <w:tcPr>
            <w:tcW w:type="dxa" w:w="5184"/>
            <w:vAlign w:val="center"/>
            <w:tcMar>
              <w:top w:w="55" w:type="dxa"/>
              <w:start w:w="85" w:type="dxa"/>
              <w:bottom w:w="55" w:type="dxa"/>
              <w:end w:w="85" w:type="dxa"/>
            </w:tcMar>
          </w:tcPr>
          <w:p>
            <w:pPr>
              <w:spacing w:after="0"/>
            </w:pPr>
            <w:r>
              <w:rPr>
                <w:rFonts w:ascii="Aptos" w:hAnsi="Aptos"/>
                <w:b w:val="0"/>
                <w:i w:val="0"/>
                <w:color w:val="000000"/>
                <w:sz w:val="18"/>
              </w:rPr>
              <w:t>AWS, EKS, EC2, Lambda, Azure, AKS, Red Hat OpenShift and ROSA</w:t>
            </w:r>
          </w:p>
        </w:tc>
      </w:tr>
      <w:tr>
        <w:tc>
          <w:tcPr>
            <w:tcW w:type="dxa" w:w="5184"/>
            <w:vAlign w:val="center"/>
            <w:tcMar>
              <w:top w:w="55" w:type="dxa"/>
              <w:start w:w="85" w:type="dxa"/>
              <w:bottom w:w="55" w:type="dxa"/>
              <w:end w:w="85" w:type="dxa"/>
            </w:tcMar>
            <w:shd w:fill="F2F2F2"/>
          </w:tcPr>
          <w:p>
            <w:pPr>
              <w:spacing w:after="0"/>
            </w:pPr>
            <w:r>
              <w:rPr>
                <w:rFonts w:ascii="Aptos" w:hAnsi="Aptos"/>
                <w:b/>
                <w:i w:val="0"/>
                <w:color w:val="000000"/>
                <w:sz w:val="18"/>
              </w:rPr>
              <w:t>Platform</w:t>
            </w:r>
          </w:p>
        </w:tc>
        <w:tc>
          <w:tcPr>
            <w:tcW w:type="dxa" w:w="5184"/>
            <w:vAlign w:val="center"/>
            <w:tcMar>
              <w:top w:w="55" w:type="dxa"/>
              <w:start w:w="85" w:type="dxa"/>
              <w:bottom w:w="55" w:type="dxa"/>
              <w:end w:w="85" w:type="dxa"/>
            </w:tcMar>
          </w:tcPr>
          <w:p>
            <w:pPr>
              <w:spacing w:after="0"/>
            </w:pPr>
            <w:r>
              <w:rPr>
                <w:rFonts w:ascii="Aptos" w:hAnsi="Aptos"/>
                <w:b w:val="0"/>
                <w:i w:val="0"/>
                <w:color w:val="000000"/>
                <w:sz w:val="18"/>
              </w:rPr>
              <w:t>Kubernetes, Docker, Helm, Istio, Terraform, GitOps, Argo CD, Ansible and Jenkins</w:t>
            </w:r>
          </w:p>
        </w:tc>
      </w:tr>
      <w:tr>
        <w:tc>
          <w:tcPr>
            <w:tcW w:type="dxa" w:w="5184"/>
            <w:vAlign w:val="center"/>
            <w:tcMar>
              <w:top w:w="55" w:type="dxa"/>
              <w:start w:w="85" w:type="dxa"/>
              <w:bottom w:w="55" w:type="dxa"/>
              <w:end w:w="85" w:type="dxa"/>
            </w:tcMar>
            <w:shd w:fill="F2F2F2"/>
          </w:tcPr>
          <w:p>
            <w:pPr>
              <w:spacing w:after="0"/>
            </w:pPr>
            <w:r>
              <w:rPr>
                <w:rFonts w:ascii="Aptos" w:hAnsi="Aptos"/>
                <w:b/>
                <w:i w:val="0"/>
                <w:color w:val="000000"/>
                <w:sz w:val="18"/>
              </w:rPr>
              <w:t>Operations</w:t>
            </w:r>
          </w:p>
        </w:tc>
        <w:tc>
          <w:tcPr>
            <w:tcW w:type="dxa" w:w="5184"/>
            <w:vAlign w:val="center"/>
            <w:tcMar>
              <w:top w:w="55" w:type="dxa"/>
              <w:start w:w="85" w:type="dxa"/>
              <w:bottom w:w="55" w:type="dxa"/>
              <w:end w:w="85" w:type="dxa"/>
            </w:tcMar>
          </w:tcPr>
          <w:p>
            <w:pPr>
              <w:spacing w:after="0"/>
            </w:pPr>
            <w:r>
              <w:rPr>
                <w:rFonts w:ascii="Aptos" w:hAnsi="Aptos"/>
                <w:b w:val="0"/>
                <w:i w:val="0"/>
                <w:color w:val="000000"/>
                <w:sz w:val="18"/>
              </w:rPr>
              <w:t>Prometheus, Grafana, Datadog, ELK, Kubecost, networking and production troubleshooting</w:t>
            </w:r>
          </w:p>
        </w:tc>
      </w:tr>
      <w:tr>
        <w:tc>
          <w:tcPr>
            <w:tcW w:type="dxa" w:w="5184"/>
            <w:vAlign w:val="center"/>
            <w:tcMar>
              <w:top w:w="55" w:type="dxa"/>
              <w:start w:w="85" w:type="dxa"/>
              <w:bottom w:w="55" w:type="dxa"/>
              <w:end w:w="85" w:type="dxa"/>
            </w:tcMar>
            <w:shd w:fill="F2F2F2"/>
          </w:tcPr>
          <w:p>
            <w:pPr>
              <w:spacing w:after="0"/>
            </w:pPr>
            <w:r>
              <w:rPr>
                <w:rFonts w:ascii="Aptos" w:hAnsi="Aptos"/>
                <w:b/>
                <w:i w:val="0"/>
                <w:color w:val="000000"/>
                <w:sz w:val="18"/>
              </w:rPr>
              <w:t>Engineering</w:t>
            </w:r>
          </w:p>
        </w:tc>
        <w:tc>
          <w:tcPr>
            <w:tcW w:type="dxa" w:w="5184"/>
            <w:vAlign w:val="center"/>
            <w:tcMar>
              <w:top w:w="55" w:type="dxa"/>
              <w:start w:w="85" w:type="dxa"/>
              <w:bottom w:w="55" w:type="dxa"/>
              <w:end w:w="85" w:type="dxa"/>
            </w:tcMar>
          </w:tcPr>
          <w:p>
            <w:pPr>
              <w:spacing w:after="0"/>
            </w:pPr>
            <w:r>
              <w:rPr>
                <w:rFonts w:ascii="Aptos" w:hAnsi="Aptos"/>
                <w:b w:val="0"/>
                <w:i w:val="0"/>
                <w:color w:val="000000"/>
                <w:sz w:val="18"/>
              </w:rPr>
              <w:t>Java, TypeScript, Python, React, Kafka, SQL, DNS and TCP/IP</w:t>
            </w:r>
          </w:p>
        </w:tc>
      </w:tr>
    </w:tbl>
    <w:p>
      <w:pPr>
        <w:pStyle w:val="CVSection"/>
        <w:keepNext/>
      </w:pPr>
      <w:r>
        <w:rPr>
          <w:rFonts w:ascii="Aptos" w:hAnsi="Aptos"/>
          <w:b/>
          <w:i w:val="0"/>
          <w:color w:val="000000"/>
          <w:sz w:val="24"/>
        </w:rPr>
        <w:t>EDUCATION AND CERTIFICATIONS</w:t>
      </w:r>
    </w:p>
    <w:p>
      <w:pPr>
        <w:keepLines/>
        <w:spacing w:after="28"/>
      </w:pPr>
      <w:r>
        <w:rPr>
          <w:rFonts w:ascii="Aptos" w:hAnsi="Aptos"/>
          <w:b/>
          <w:i w:val="0"/>
          <w:color w:val="000000"/>
          <w:sz w:val="19"/>
        </w:rPr>
        <w:t>MSc Advanced Computer Science</w:t>
      </w:r>
      <w:r>
        <w:rPr>
          <w:rFonts w:ascii="Aptos" w:hAnsi="Aptos"/>
          <w:b w:val="0"/>
          <w:i w:val="0"/>
          <w:color w:val="484848"/>
          <w:sz w:val="19"/>
        </w:rPr>
        <w:t xml:space="preserve">  |  Leeds Beckett University, Leeds, West Yorkshire</w:t>
      </w:r>
    </w:p>
    <w:p>
      <w:pPr>
        <w:keepLines/>
        <w:spacing w:after="28"/>
      </w:pPr>
      <w:r>
        <w:rPr>
          <w:rFonts w:ascii="Aptos" w:hAnsi="Aptos"/>
          <w:b/>
          <w:i w:val="0"/>
          <w:color w:val="000000"/>
          <w:sz w:val="19"/>
        </w:rPr>
        <w:t>BSc Water Resources Management</w:t>
      </w:r>
      <w:r>
        <w:rPr>
          <w:rFonts w:ascii="Aptos" w:hAnsi="Aptos"/>
          <w:b w:val="0"/>
          <w:i w:val="0"/>
          <w:color w:val="484848"/>
          <w:sz w:val="19"/>
        </w:rPr>
        <w:t xml:space="preserve">  |  University of Agriculture, Abeokuta, Ogun State, Nigeria</w:t>
      </w:r>
    </w:p>
    <w:p>
      <w:pPr>
        <w:keepLines/>
        <w:spacing w:after="28"/>
      </w:pPr>
      <w:r>
        <w:rPr>
          <w:rFonts w:ascii="Aptos" w:hAnsi="Aptos"/>
          <w:b/>
          <w:i w:val="0"/>
          <w:color w:val="000000"/>
          <w:sz w:val="19"/>
        </w:rPr>
        <w:t>AWS Certified Solutions Architect - Associate</w:t>
      </w:r>
      <w:r>
        <w:rPr>
          <w:rFonts w:ascii="Aptos" w:hAnsi="Aptos"/>
          <w:b w:val="0"/>
          <w:i w:val="0"/>
          <w:color w:val="484848"/>
          <w:sz w:val="19"/>
        </w:rPr>
        <w:t xml:space="preserve">  |  Amazon Web Services</w:t>
      </w:r>
    </w:p>
    <w:p>
      <w:pPr>
        <w:keepLines/>
        <w:spacing w:after="28"/>
      </w:pPr>
      <w:r>
        <w:rPr>
          <w:rFonts w:ascii="Aptos" w:hAnsi="Aptos"/>
          <w:b/>
          <w:i w:val="0"/>
          <w:color w:val="000000"/>
          <w:sz w:val="19"/>
        </w:rPr>
        <w:t>AWS Certified Developer - Associate</w:t>
      </w:r>
      <w:r>
        <w:rPr>
          <w:rFonts w:ascii="Aptos" w:hAnsi="Aptos"/>
          <w:b w:val="0"/>
          <w:i w:val="0"/>
          <w:color w:val="484848"/>
          <w:sz w:val="19"/>
        </w:rPr>
        <w:t xml:space="preserve">  |  Amazon Web Services</w:t>
      </w:r>
    </w:p>
    <w:p>
      <w:pPr>
        <w:keepLines/>
        <w:spacing w:after="28"/>
      </w:pPr>
      <w:r>
        <w:rPr>
          <w:rFonts w:ascii="Aptos" w:hAnsi="Aptos"/>
          <w:b/>
          <w:i w:val="0"/>
          <w:color w:val="000000"/>
          <w:sz w:val="19"/>
        </w:rPr>
        <w:t>Terraform Associate</w:t>
      </w:r>
      <w:r>
        <w:rPr>
          <w:rFonts w:ascii="Aptos" w:hAnsi="Aptos"/>
          <w:b w:val="0"/>
          <w:i w:val="0"/>
          <w:color w:val="484848"/>
          <w:sz w:val="19"/>
        </w:rPr>
        <w:t xml:space="preserve">  |  HashiCorp</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keepNext/>
      <w:spacing w:before="140" w:after="60"/>
    </w:pPr>
    <w:rPr>
      <w:rFonts w:ascii="Aptos" w:hAnsi="Aptos"/>
      <w:b/>
      <w:color w:val="000000"/>
      <w:sz w:val="24"/>
    </w:rPr>
  </w:style>
  <w:style w:type="paragraph" w:customStyle="1" w:styleId="CVBullet">
    <w:name w:val="CV Bullet"/>
    <w:pPr>
      <w:spacing w:after="48" w:line="240" w:lineRule="auto"/>
      <w:ind w:left="259" w:hanging="202"/>
    </w:pPr>
    <w:rPr>
      <w:rFonts w:ascii="Aptos" w:hAnsi="Apto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Adebiyi Adegboye Platform Engineering Team Lead CV</dc:title>
  <dc:subject>CV tailored to a Cloud Infrastructure Engineering Lead opportunity</dc:subject>
  <dc:creator>Adebiyi Adegboye</dc:creator>
  <cp:keywords>Cloud Infrastructure Engineering Lead, Azure, AKS, AWS, EKS, Kubernetes, Terraform, GitOps</cp:keywords>
  <dc:description>generated by python-docx</dc:description>
  <cp:lastModifiedBy/>
  <cp:revision>1</cp:revision>
  <dcterms:created xsi:type="dcterms:W3CDTF">2013-12-23T23:15:00Z</dcterms:created>
  <dcterms:modified xsi:type="dcterms:W3CDTF">2013-12-23T23:15:00Z</dcterms:modified>
  <cp:category/>
</cp:coreProperties>
</file>