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rPr>
          <w:b/>
          <w:bCs/>
          <w:color w:val="2E5496"/>
          <w:sz w:val="24"/>
          <w:szCs w:val="24"/>
        </w:rPr>
        <w:t xml:space="preserve">KEPPEL  •  RISK &amp; COMPLIANCE</w:t>
      </w:r>
    </w:p>
    <w:p>
      <w:pPr>
        <w:pBdr>
          <w:bottom w:val="single" w:color="C55A11" w:sz="18" w:space="8"/>
        </w:pBdr>
        <w:spacing w:before="200" w:after="0"/>
      </w:pPr>
      <w:r>
        <w:rPr>
          <w:b/>
          <w:bCs/>
          <w:color w:val="1F3864"/>
          <w:sz w:val="56"/>
          <w:szCs w:val="56"/>
        </w:rPr>
        <w:t xml:space="preserve">Product Requirements Document</w:t>
      </w:r>
    </w:p>
    <w:p>
      <w:pPr>
        <w:spacing w:before="260" w:after="0"/>
      </w:pPr>
      <w:r>
        <w:rPr>
          <w:b/>
          <w:bCs/>
          <w:color w:val="000000"/>
          <w:sz w:val="36"/>
          <w:szCs w:val="36"/>
        </w:rPr>
        <w:t xml:space="preserve">Salus — Keppel Global Insurance Monitoring System</w:t>
      </w:r>
    </w:p>
    <w:p>
      <w:pPr>
        <w:spacing w:before="120" w:after="0"/>
      </w:pPr>
      <w:r>
        <w:rPr>
          <w:i/>
          <w:iCs/>
          <w:color w:val="595959"/>
          <w:sz w:val="24"/>
          <w:szCs w:val="24"/>
        </w:rPr>
        <w:t xml:space="preserve">A group-wide insurance dashboard and policy-intelligence platform</w:t>
      </w:r>
    </w:p>
    <w:p>
      <w:pPr>
        <w:spacing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Document title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PRD — Salus (Keppel Global Insurance Monitoring System)</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Version / Status</w:t>
            </w:r>
          </w:p>
        </w:tc>
        <w:tc>
          <w:tcPr>
            <w:tcW w:type="dxa" w:w="66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r>
              <w:t>v0.8 — Draft for review</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Date</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t>21 July 2026</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Document owner / Sponsor</w:t>
            </w:r>
          </w:p>
        </w:tc>
        <w:tc>
          <w:tcPr>
            <w:tcW w:type="dxa" w:w="66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Senior Manager, Risk &amp; Compliance</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Prepared for</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Leadership · Group Insurance / Treasury · IT &amp; Data Engineering · Build Vendor</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Reporting currency</w:t>
            </w:r>
          </w:p>
        </w:tc>
        <w:tc>
          <w:tcPr>
            <w:tcW w:type="dxa" w:w="66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[SGD] (primary) · [USD] (secondary display)</w:t>
            </w:r>
          </w:p>
        </w:tc>
      </w:tr>
      <w:tr>
        <w:tc>
          <w:tcPr>
            <w:tcW w:type="dxa" w:w="2700"/>
            <w:tcBorders>
              <w:top w:val="single" w:color="BFBFBF" w:sz="1"/>
              <w:left w:val="single" w:color="BFBFBF" w:sz="1"/>
              <w:bottom w:val="single" w:color="BFBFBF" w:sz="1"/>
              <w:right w:val="single" w:color="BFBFBF" w:sz="1"/>
            </w:tcBorders>
            <w:shd w:fill="D6E0F0" w:val="clear"/>
            <w:tcMar>
              <w:top w:type="dxa" w:w="60"/>
              <w:left w:type="dxa" w:w="110"/>
              <w:bottom w:type="dxa" w:w="60"/>
              <w:right w:type="dxa" w:w="110"/>
            </w:tcMar>
            <w:vAlign w:val="center"/>
          </w:tcPr>
          <w:p>
            <w:pPr>
              <w:spacing w:after="20" w:line="248"/>
            </w:pPr>
            <w:r>
              <w:rPr>
                <w:b/>
                <w:bCs/>
                <w:color w:val="000000"/>
                <w:sz w:val="19"/>
                <w:szCs w:val="19"/>
              </w:rPr>
              <w:t xml:space="preserve">Classification</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Confidential — Internal Use Only</w:t>
            </w:r>
          </w:p>
        </w:tc>
      </w:tr>
    </w:tbl>
    <w:p>
      <w:pPr>
        <w:spacing w:after="300"/>
      </w:pPr>
      <w:r>
        <w:t xml:space="preserve"/>
      </w:r>
    </w:p>
    <w:p>
      <w:pPr>
        <w:spacing w:after="120" w:before="0" w:line="276"/>
      </w:pPr>
      <w:r>
        <w:rPr>
          <w:i/>
          <w:iCs/>
          <w:color w:val="595959"/>
          <w:sz w:val="18"/>
          <w:szCs w:val="18"/>
        </w:rPr>
        <w:t xml:space="preserve">This document specifies the requirements for Salus. It is a draft for stakeholder review; bracketed values [like this] are placeholders for the sponsor to confirm. No Keppel-specific figures have been assumed.</w:t>
      </w:r>
    </w:p>
    <w:p>
      <w:r>
        <w:br w:type="page"/>
      </w:r>
    </w:p>
    <w:p>
      <w:pPr>
        <w:pStyle w:val="Heading1"/>
      </w:pPr>
      <w:r>
        <w:t xml:space="preserve">Document Control</w:t>
      </w: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4160"/>
      </w:tblGrid>
      <w:tr>
        <w:trPr>
          <w:tblHeader/>
        </w:trPr>
        <w:tc>
          <w:tcPr>
            <w:tcW w:type="dxa" w:w="1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Version</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Date</w:t>
            </w:r>
          </w:p>
        </w:tc>
        <w:tc>
          <w:tcPr>
            <w:tcW w:type="dxa" w:w="2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Author</w:t>
            </w:r>
          </w:p>
        </w:tc>
        <w:tc>
          <w:tcPr>
            <w:tcW w:type="dxa" w:w="41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Summary of change</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30 Jun 2026</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(sponsor)</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Initial draft for review</w:t>
            </w:r>
          </w:p>
        </w:tc>
      </w:tr>
      <w:tr>
        <w:tc>
          <w:tcPr>
            <w:tcW w:type="dxa" w:w="1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0.2</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30 Jun 2026</w:t>
            </w:r>
          </w:p>
        </w:tc>
        <w:tc>
          <w:tcPr>
            <w:tcW w:type="dxa" w:w="2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(sponsor)</w:t>
            </w:r>
          </w:p>
        </w:tc>
        <w:tc>
          <w:tcPr>
            <w:tcW w:type="dxa" w:w="41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Added News &amp; Sector Risk Intelligence capability (6.6) and coverage-vs-appetite checks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0.3</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06 Jul 2026</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(sponsor)</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Added baseline-measurement approach (3.1), data migration &amp; backfill (9.2), configuration change control (10.3), UAT approach (15.2), adoption &amp; change management (16.1), PII-handling row and RPO/RTO detail (13), and a V2 news-scope risk flag (17.3).</w:t>
            </w:r>
          </w:p>
        </w:tc>
      </w:tr>
      <w:tr>
        <w:tc>
          <w:tcPr>
            <w:tcW w:type="dxa" w:w="1300"/>
          </w:tcPr>
          <w:p>
            <w:r>
              <w:t>0.4</w:t>
            </w:r>
          </w:p>
        </w:tc>
        <w:tc>
          <w:tcPr>
            <w:tcW w:type="dxa" w:w="1500"/>
          </w:tcPr>
          <w:p>
            <w:r>
              <w:t>07 Jul 2026</w:t>
            </w:r>
          </w:p>
        </w:tc>
        <w:tc>
          <w:tcPr>
            <w:tcW w:type="dxa" w:w="2400"/>
          </w:tcPr>
          <w:p>
            <w:r>
              <w:t>R&amp;C (sponsor)</w:t>
            </w:r>
          </w:p>
        </w:tc>
        <w:tc>
          <w:tcPr>
            <w:tcW w:type="dxa" w:w="4160"/>
          </w:tcPr>
          <w:p>
            <w:r>
              <w:t>Added manual insurance questionnaire fallback for assets with no source document (Sections 6.3, 9.1; FR3.9; data dictionary Sec 8.2).</w:t>
            </w:r>
          </w:p>
        </w:tc>
      </w:tr>
      <w:tr>
        <w:tc>
          <w:tcPr>
            <w:tcW w:type="dxa" w:w="1300"/>
          </w:tcPr>
          <w:p>
            <w:r>
              <w:rPr>
                <w:b w:val="0"/>
                <w:sz w:val="19"/>
              </w:rPr>
              <w:t>0.5</w:t>
            </w:r>
          </w:p>
        </w:tc>
        <w:tc>
          <w:tcPr>
            <w:tcW w:type="dxa" w:w="1500"/>
          </w:tcPr>
          <w:p>
            <w:r>
              <w:rPr>
                <w:b w:val="0"/>
                <w:sz w:val="19"/>
              </w:rPr>
              <w:t>07 Jul 2026</w:t>
            </w:r>
          </w:p>
        </w:tc>
        <w:tc>
          <w:tcPr>
            <w:tcW w:type="dxa" w:w="2400"/>
          </w:tcPr>
          <w:p>
            <w:r>
              <w:rPr>
                <w:b w:val="0"/>
                <w:sz w:val="19"/>
              </w:rPr>
              <w:t>R&amp;C (sponsor)</w:t>
            </w:r>
          </w:p>
        </w:tc>
        <w:tc>
          <w:tcPr>
            <w:tcW w:type="dxa" w:w="4160"/>
          </w:tcPr>
          <w:p>
            <w:r>
              <w:rPr>
                <w:b w:val="0"/>
                <w:sz w:val="19"/>
              </w:rPr>
              <w:t>Reflected the latest Salus UI build: redesigned Global Map (dot-matrix world silhouette, interactive asset list, compact legend — FR1.3/FR1.7); persistent, page-contextual Action Items panel and always-on Salus Assistant with page-aware suggested prompts (FR1.5, new capability 6.8/FR8); and a new Third-Party Contractual Insurance Requirements tracking capability (6.7/FR7) with associated KPI (7.7), data entities (8.1), dashboard view (11), and alert (12.1).</w:t>
            </w:r>
          </w:p>
        </w:tc>
      </w:tr>
      <w:tr>
        <w:tc>
          <w:tcPr>
            <w:tcW w:type="dxa" w:w="1300"/>
          </w:tcPr>
          <w:p>
            <w:r>
              <w:rPr>
                <w:b w:val="0"/>
                <w:sz w:val="19"/>
              </w:rPr>
              <w:t>0.6</w:t>
            </w:r>
          </w:p>
        </w:tc>
        <w:tc>
          <w:tcPr>
            <w:tcW w:type="dxa" w:w="1500"/>
          </w:tcPr>
          <w:p>
            <w:r>
              <w:rPr>
                <w:b w:val="0"/>
                <w:sz w:val="19"/>
              </w:rPr>
              <w:t>08 Jul 2026</w:t>
            </w:r>
          </w:p>
        </w:tc>
        <w:tc>
          <w:tcPr>
            <w:tcW w:type="dxa" w:w="2400"/>
          </w:tcPr>
          <w:p>
            <w:r>
              <w:rPr>
                <w:b w:val="0"/>
                <w:sz w:val="19"/>
              </w:rPr>
              <w:t>R&amp;C (sponsor)</w:t>
            </w:r>
          </w:p>
        </w:tc>
        <w:tc>
          <w:tcPr>
            <w:tcW w:type="dxa" w:w="4160"/>
          </w:tcPr>
          <w:p>
            <w:r>
              <w:rPr>
                <w:b w:val="0"/>
                <w:sz w:val="19"/>
              </w:rPr>
              <w:t>Added Insurance Exclusions capability (6.9, FR9.1-FR9.6): an asset-level policy exclusion / sub-limit register cross-checked against Contract Requirements (6.7). Introduced a new 'Excluded' Contract Requirement status — distinct from Met/At-risk/Gap — for cases where the placed limit numerically satisfies a requirement but a policy exclusion removes the peril the counterparty actually needs covered; conflicts escalate to Action Items and surface as contextual warnings on Global Map, Coverage Adequacy, and Risk Hotspots. Added KPI (7.8), data entity (8.1), dashboard view (11), and alert (12.1).</w:t>
            </w:r>
          </w:p>
        </w:tc>
      </w:tr>
      <w:tr>
        <w:tc>
          <w:tcPr>
            <w:tcW w:type="dxa" w:w="1300"/>
          </w:tcPr>
          <w:p>
            <w:r>
              <w:rPr>
                <w:b w:val="0"/>
                <w:sz w:val="19"/>
              </w:rPr>
              <w:t>0.7</w:t>
            </w:r>
          </w:p>
        </w:tc>
        <w:tc>
          <w:tcPr>
            <w:tcW w:type="dxa" w:w="1500"/>
          </w:tcPr>
          <w:p>
            <w:r>
              <w:rPr>
                <w:b w:val="0"/>
                <w:sz w:val="19"/>
              </w:rPr>
              <w:t>21 Jul 2026</w:t>
            </w:r>
          </w:p>
        </w:tc>
        <w:tc>
          <w:tcPr>
            <w:tcW w:type="dxa" w:w="2400"/>
          </w:tcPr>
          <w:p>
            <w:r>
              <w:rPr>
                <w:b w:val="0"/>
                <w:sz w:val="19"/>
              </w:rPr>
              <w:t>R&amp;C (sponsor)</w:t>
            </w:r>
          </w:p>
        </w:tc>
        <w:tc>
          <w:tcPr>
            <w:tcW w:type="dxa" w:w="4160"/>
          </w:tcPr>
          <w:p>
            <w:r>
              <w:rPr>
                <w:b w:val="0"/>
                <w:sz w:val="19"/>
              </w:rPr>
              <w:t>Added data lifecycle, versioning &amp; retention requirements (8.3): explicit versioned / point-in-time / append-only state categories and their governing requirements, a configuration-version concept tied to Section 10.3, and the distinction between the renewal-cycle and regulatory-retention windows. Added NFR row (13) and an open question (18) on retention-policy duration.</w:t>
            </w:r>
          </w:p>
        </w:tc>
      </w:tr>
      <w:tr>
        <w:tc>
          <w:tcPr>
            <w:tcW w:type="dxa" w:w="1300"/>
          </w:tcPr>
          <w:p>
            <w:r>
              <w:t>0.8</w:t>
            </w:r>
          </w:p>
        </w:tc>
        <w:tc>
          <w:tcPr>
            <w:tcW w:type="dxa" w:w="1500"/>
          </w:tcPr>
          <w:p>
            <w:r>
              <w:t>21 Jul 2026</w:t>
            </w:r>
          </w:p>
        </w:tc>
        <w:tc>
          <w:tcPr>
            <w:tcW w:type="dxa" w:w="2400"/>
          </w:tcPr>
          <w:p>
            <w:r>
              <w:t>R&amp;C (sponsor)</w:t>
            </w:r>
          </w:p>
        </w:tc>
        <w:tc>
          <w:tcPr>
            <w:tcW w:type="dxa" w:w="4160"/>
          </w:tcPr>
          <w:p>
            <w:r>
              <w:t>Reclassified Salus Assistant natural-language answering (FR8.3–FR8.5) from V2 to MVP — full conversational Q&amp;A over live Salus data, with source citations back to the underlying KPI/policy/requirement record, ships at MVP rather than being limited to the panel and suggested prompts (6.8/FR8). Clarified Section 16 MVP scope-highlights to explicitly name Contract Requirements, Insurance Exclusions, and the Salus Assistant as MVP dashboards/capabilities, consistent with their existing FR7/FR9/FR8 release tags in Section 6.</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[TBC]</w:t>
            </w:r>
          </w:p>
        </w:tc>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[TBC]</w:t>
            </w:r>
          </w:p>
        </w:tc>
        <w:tc>
          <w:tcPr>
            <w:tcW w:type="dxa" w:w="41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Baselined for build vendor</w:t>
            </w:r>
          </w:p>
        </w:tc>
      </w:tr>
    </w:tbl>
    <w:p>
      <w:pPr>
        <w:spacing w:after="160"/>
      </w:pPr>
      <w:r>
        <w:t xml:space="preserve"/>
      </w:r>
    </w:p>
    <w:p>
      <w:pPr>
        <w:pStyle w:val="Heading2"/>
      </w:pPr>
      <w:r>
        <w:t xml:space="preserve">Approvals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760"/>
        <w:gridCol w:w="1000"/>
      </w:tblGrid>
      <w:tr>
        <w:trPr>
          <w:tblHeader/>
        </w:trPr>
        <w:tc>
          <w:tcPr>
            <w:tcW w:type="dxa" w:w="3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Role</w:t>
            </w:r>
          </w:p>
        </w:tc>
        <w:tc>
          <w:tcPr>
            <w:tcW w:type="dxa" w:w="22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Name</w:t>
            </w:r>
          </w:p>
        </w:tc>
        <w:tc>
          <w:tcPr>
            <w:tcW w:type="dxa" w:w="2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Decision</w:t>
            </w:r>
          </w:p>
        </w:tc>
        <w:tc>
          <w:tcPr>
            <w:tcW w:type="dxa" w:w="1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Date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Sponsor — Senior Manager, R&amp;C</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Approve scope &amp; priorities</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r>
        <w:tc>
          <w:tcPr>
            <w:tcW w:type="dxa" w:w="3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Director, Risk &amp; Compliance</w:t>
            </w:r>
          </w:p>
        </w:tc>
        <w:tc>
          <w:tcPr>
            <w:tcW w:type="dxa" w:w="22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Endorse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 / Treasury</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Endorse data &amp; KPI definitions</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r>
        <w:tc>
          <w:tcPr>
            <w:tcW w:type="dxa" w:w="3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IT &amp; Data Engineering</w:t>
            </w:r>
          </w:p>
        </w:tc>
        <w:tc>
          <w:tcPr>
            <w:tcW w:type="dxa" w:w="22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[name]</w:t>
            </w:r>
          </w:p>
        </w:tc>
        <w:tc>
          <w:tcPr>
            <w:tcW w:type="dxa" w:w="2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Endorse architecture &amp; integrations</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t xml:space="preserve">Salus, the Keppel Global Insurance Monitoring System, is a group-wide platform that consolidates every insurance policy across all Keppel legal entities, countries, and physical sites into a single interactive dashboard. It automatically ingests broker and policy documents, extracts their key terms, computes coverage and risk ratios, and surfaces where insurance coverage is insufficient relative to the underlying risk.</w:t>
      </w:r>
    </w:p>
    <w:p>
      <w:pPr>
        <w:spacing w:after="120" w:before="0" w:line="276"/>
      </w:pPr>
      <w:r>
        <w:t xml:space="preserve">Today, insurance data is fragmented across business units, brokers, spreadsheets, and PDF policy wordings. There is no consolidated, near-real-time view of how well the Group's assets, liabilities, and operations are insured. This makes underinsurance hard to detect, renewals easy to miss, and the total cost of risk difficult to optimise or evidence to auditors and the Board.</w:t>
      </w:r>
    </w:p>
    <w:p>
      <w:pPr>
        <w:spacing w:after="120" w:line="276"/>
      </w:pPr>
      <w:r>
        <w:rPr>
          <w:b/>
          <w:bCs/>
        </w:rPr>
        <w:t xml:space="preserve">Salus delivers six core capabilities: </w:t>
      </w:r>
      <w:r>
        <w:t xml:space="preserve">(1) an interactive global dashboard with drill-down from Group to individual policy; (2) an automated coverage &amp; risk ratio engine; (3) document ingestion that reads broker/policy documents and populates the database with human-in-the-loop validation; (4) a tunable composite risk score that highlights high-risk, under-covered countries, sites, and entities; (5) multi-select filtering by insurance line and dimension; and (6) news &amp; sector risk intelligence that monitors developments in the sectors and geographies Keppel invests in and pre-emptively flags where projected exposure may fall outside risk appetite or available coverage.</w:t>
      </w:r>
    </w:p>
    <w:p>
      <w:pPr>
        <w:spacing w:after="120" w:before="0" w:line="276"/>
      </w:pPr>
      <w:r>
        <w:t xml:space="preserve">The expected outcomes are a single source of truth for the Group insurance programme, earlier detection and remediation of coverage gaps, reduced manual effort in capturing policy data, zero unplanned coverage lapses at renewal, and a defensible, audit-ready basis for optimising total cost of risk, and a shift from reactive to pre-emptive risk management that links external sector and geographic developments to asset exposure and coverage. The platform is proposed for phased delivery — an MVP focused on data consolidation and core ratios, followed by full automation, risk-hotspot analytics, and proactive alerting.</w:t>
      </w:r>
    </w:p>
    <w:p>
      <w:pPr>
        <w:pStyle w:val="Heading1"/>
      </w:pPr>
      <w:r>
        <w:t xml:space="preserve">2. Problem Statement &amp; Business Drivers</w:t>
      </w:r>
    </w:p>
    <w:p>
      <w:pPr>
        <w:pStyle w:val="Heading2"/>
      </w:pPr>
      <w:r>
        <w:t xml:space="preserve">2.1 Problem statement</w:t>
      </w:r>
    </w:p>
    <w:p>
      <w:pPr>
        <w:spacing w:after="120" w:before="0" w:line="276"/>
      </w:pPr>
      <w:r>
        <w:t xml:space="preserve">Keppel's insurance programme spans many insurance lines, dozens of legal entities, and operations in multiple countries. The data describing that programme is not consolidated, not standardised, and not continuously monitored. As a result, Risk &amp; Compliance and Group Insurance cannot answer basic questions quickly and with confidence.</w:t>
      </w:r>
    </w:p>
    <w:p>
      <w:pPr>
        <w:pStyle w:val="ListParagraph"/>
        <w:numPr>
          <w:ilvl w:val="0"/>
          <w:numId w:val="2"/>
        </w:numPr>
        <w:spacing w:after="60" w:line="268"/>
      </w:pPr>
      <w:r>
        <w:rPr>
          <w:b/>
          <w:bCs/>
        </w:rPr>
        <w:t xml:space="preserve">Fragmented data: </w:t>
      </w:r>
      <w:r>
        <w:t xml:space="preserve">policy terms live in PDFs, broker slips, emails, and local spreadsheets, with no common schema or single repository.</w:t>
      </w:r>
    </w:p>
    <w:p>
      <w:pPr>
        <w:pStyle w:val="ListParagraph"/>
        <w:numPr>
          <w:ilvl w:val="0"/>
          <w:numId w:val="2"/>
        </w:numPr>
        <w:spacing w:after="60" w:line="268"/>
      </w:pPr>
      <w:r>
        <w:rPr>
          <w:b/>
          <w:bCs/>
        </w:rPr>
        <w:t xml:space="preserve">Invisible underinsurance: </w:t>
      </w:r>
      <w:r>
        <w:t xml:space="preserve">there is no systematic comparison of sums insured against insurable values or probable maximum loss, so under-covered assets are not flagged until a claim exposes the gap.</w:t>
      </w:r>
    </w:p>
    <w:p>
      <w:pPr>
        <w:pStyle w:val="ListParagraph"/>
        <w:numPr>
          <w:ilvl w:val="0"/>
          <w:numId w:val="2"/>
        </w:numPr>
        <w:spacing w:after="60" w:line="268"/>
      </w:pPr>
      <w:r>
        <w:rPr>
          <w:b/>
          <w:bCs/>
        </w:rPr>
        <w:t xml:space="preserve">Manual, slow capture: </w:t>
      </w:r>
      <w:r>
        <w:t xml:space="preserve">extracting key terms from policy documents is manual, error-prone, and not scalable across renewals and new acquisitions.</w:t>
      </w:r>
    </w:p>
    <w:p>
      <w:pPr>
        <w:pStyle w:val="ListParagraph"/>
        <w:numPr>
          <w:ilvl w:val="0"/>
          <w:numId w:val="2"/>
        </w:numPr>
        <w:spacing w:after="60" w:line="268"/>
      </w:pPr>
      <w:r>
        <w:rPr>
          <w:b/>
          <w:bCs/>
        </w:rPr>
        <w:t xml:space="preserve">No risk-prioritised view: </w:t>
      </w:r>
      <w:r>
        <w:t xml:space="preserve">the Group cannot easily see which countries, sites, or entities carry the highest uninsured or under-insured exposure.</w:t>
      </w:r>
    </w:p>
    <w:p>
      <w:pPr>
        <w:pStyle w:val="ListParagraph"/>
        <w:numPr>
          <w:ilvl w:val="0"/>
          <w:numId w:val="2"/>
        </w:numPr>
        <w:spacing w:after="60" w:line="268"/>
      </w:pPr>
      <w:r>
        <w:rPr>
          <w:b/>
          <w:bCs/>
        </w:rPr>
        <w:t xml:space="preserve">Renewal and lapse risk: </w:t>
      </w:r>
      <w:r>
        <w:t xml:space="preserve">expiries are tracked locally; a missed renewal can leave an asset uninsured.</w:t>
      </w:r>
    </w:p>
    <w:p>
      <w:pPr>
        <w:pStyle w:val="ListParagraph"/>
        <w:numPr>
          <w:ilvl w:val="0"/>
          <w:numId w:val="2"/>
        </w:numPr>
        <w:spacing w:after="60" w:line="268"/>
      </w:pPr>
      <w:r>
        <w:rPr>
          <w:b/>
          <w:bCs/>
        </w:rPr>
        <w:t xml:space="preserve">Limited assurance: </w:t>
      </w:r>
      <w:r>
        <w:t xml:space="preserve">auditors, the Board, and regulators expect evidence of adequate, well-governed cover — currently assembled manually each cycle.</w:t>
      </w:r>
    </w:p>
    <w:p>
      <w:pPr>
        <w:pStyle w:val="Heading2"/>
      </w:pPr>
      <w:r>
        <w:t xml:space="preserve">2.2 Business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Driver</w:t>
            </w:r>
          </w:p>
        </w:tc>
        <w:tc>
          <w:tcPr>
            <w:tcW w:type="dxa" w:w="62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What Salus changes</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Capital &amp; balance-sheet protection</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Detect and close coverage gaps before they become uninsured losses.</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cost of risk optimisation</w:t>
            </w:r>
          </w:p>
        </w:tc>
        <w:tc>
          <w:tcPr>
            <w:tcW w:type="dxa" w:w="62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Compare premium, retention, and loss data across the Group to inform placement strategy.</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Governance &amp; assurance</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Provide an audit-ready, traceable record of cover, with lineage back to source documents.</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Operational efficiency</w:t>
            </w:r>
          </w:p>
        </w:tc>
        <w:tc>
          <w:tcPr>
            <w:tcW w:type="dxa" w:w="62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Automate extraction and ratio computation, freeing R&amp;C and Group Insurance from manual collation.</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M&amp;A and growth</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Onboard newly acquired entities into a standard insurance data model quickly.</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Regulatory &amp; statutory compliance</w:t>
            </w:r>
          </w:p>
        </w:tc>
        <w:tc>
          <w:tcPr>
            <w:tcW w:type="dxa" w:w="62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mandatory covers (e.g., workmen's compensation, motor third-party) by jurisdiction.</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Forward-looking risk awareness</w:t>
            </w:r>
          </w:p>
        </w:tc>
        <w:tc>
          <w:tcPr>
            <w:tcW w:type="dxa" w:w="6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 external sector, geographic, and peril developments to specific assets so the Group can act pre-emptively, before renewal or loss.</w:t>
            </w:r>
          </w:p>
        </w:tc>
      </w:tr>
    </w:tbl>
    <w:p>
      <w:pPr>
        <w:pStyle w:val="Heading1"/>
      </w:pPr>
      <w:r>
        <w:t xml:space="preserve">3. Goals, Objectives &amp; Success Metrics</w:t>
      </w:r>
    </w:p>
    <w:p>
      <w:pPr>
        <w:spacing w:after="120" w:before="0" w:line="276"/>
      </w:pPr>
      <w:r>
        <w:t xml:space="preserve">Targets below are proposed starting points for the sponsor to confirm. They are deliberately measurable so that benefits can be evidenced post-launch.</w:t>
      </w:r>
    </w:p>
    <w:p>
      <w:pPr>
        <w:pStyle w:val="Heading2"/>
      </w:pPr>
      <w:r>
        <w:t xml:space="preserve">3.1 Baseline measurement approach</w:t>
      </w:r>
    </w:p>
    <w:p>
      <w:pPr>
        <w:spacing w:after="120" w:before="0" w:line="276"/>
      </w:pPr>
      <w:r>
        <w:t xml:space="preserve">Several targets above are framed as an improvement against a baseline (e.g., manual data-entry time per policy, count/value of under-insured TIV) that does not yet exist as a clean figure, since today's insurance data is fragmented by definition. Before or during MVP build, R&amp;C and Group Insurance will:</w:t>
      </w:r>
    </w:p>
    <w:p>
      <w:pPr>
        <w:pStyle w:val="ListParagraph"/>
        <w:numPr>
          <w:ilvl w:val="0"/>
          <w:numId w:val="2"/>
        </w:numPr>
        <w:spacing w:after="60" w:line="268"/>
      </w:pPr>
      <w:r>
        <w:rPr>
          <w:b/>
          <w:bCs/>
        </w:rPr>
        <w:t xml:space="preserve">Time the current process: </w:t>
      </w:r>
      <w:r>
        <w:t xml:space="preserve">sample and time the existing manual data-entry/collation process across a representative set of entities and policies to establish the 'time per policy' baseline.</w:t>
      </w:r>
    </w:p>
    <w:p>
      <w:pPr>
        <w:pStyle w:val="ListParagraph"/>
        <w:numPr>
          <w:ilvl w:val="0"/>
          <w:numId w:val="2"/>
        </w:numPr>
        <w:spacing w:after="60" w:line="268"/>
      </w:pPr>
      <w:r>
        <w:rPr>
          <w:b/>
          <w:bCs/>
        </w:rPr>
        <w:t xml:space="preserve">Size current under-insurance: </w:t>
      </w:r>
      <w:r>
        <w:t xml:space="preserve">establish the current count and insured value of under-covered assets (ITV &lt; 90%) from the best available data today, acknowledging this figure may itself be incomplete.</w:t>
      </w:r>
    </w:p>
    <w:p>
      <w:pPr>
        <w:pStyle w:val="ListParagraph"/>
        <w:numPr>
          <w:ilvl w:val="0"/>
          <w:numId w:val="2"/>
        </w:numPr>
        <w:spacing w:after="60" w:line="268"/>
      </w:pPr>
      <w:r>
        <w:rPr>
          <w:b/>
          <w:bCs/>
        </w:rPr>
        <w:t xml:space="preserve">Record a baseline memo: </w:t>
      </w:r>
      <w:r>
        <w:t xml:space="preserve">document both baselines and their known limitations before go-live, so post-launch improvement percentages are measured against a fixed, auditable reference point rather than a moving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Goal</w:t>
            </w:r>
          </w:p>
        </w:tc>
        <w:tc>
          <w:tcPr>
            <w:tcW w:type="dxa" w:w="4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Success metric</w:t>
            </w:r>
          </w:p>
        </w:tc>
        <w:tc>
          <w:tcPr>
            <w:tcW w:type="dxa" w:w="28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Proposed target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Single source of truth</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of active policies captured in Salus</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within 6 months of go-live</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quality</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Data-completeness &amp; validation score</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90% of mandatory fields captured and validated</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 efficiency</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Reduction in manual data-entry time per policy</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80% reduction vs baseline</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 accuracy</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Field-level accuracy after human validation</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95% straight-through accuracy</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adequacy</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Reduction in under-insured TIV (ITV &lt; 90%)</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50% reduction within 12 months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 continuity</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Unplanned coverage lapses</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Zero — all renewals actioned ≥ 60 days pre-expiry</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visibility</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High-risk exposures reviewed each quarter</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of top-ranked hotspots reviewed</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Adoption</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Active users across in-scope entities</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[target] monthly active users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Decision speed</w:t>
            </w:r>
          </w:p>
        </w:tc>
        <w:tc>
          <w:tcPr>
            <w:tcW w:type="dxa" w:w="4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Time to produce Board/audit insurance pack</w:t>
            </w:r>
          </w:p>
        </w:tc>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From [days] to under [hours]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Pre-emptive action</w:t>
            </w:r>
          </w:p>
        </w:tc>
        <w:tc>
          <w:tcPr>
            <w:tcW w:type="dxa" w:w="4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Coverage/appetite actions taken from news-driven signals before renewal or loss</w:t>
            </w:r>
          </w:p>
        </w:tc>
        <w:tc>
          <w:tcPr>
            <w:tcW w:type="dxa" w:w="28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and grow quarter-on-quarter</w:t>
            </w:r>
          </w:p>
        </w:tc>
      </w:tr>
    </w:tbl>
    <w:p>
      <w:pPr>
        <w:pStyle w:val="Heading1"/>
      </w:pPr>
      <w:r>
        <w:t xml:space="preserve">4. Personas &amp; User Roles</w:t>
      </w:r>
    </w:p>
    <w:p>
      <w:pPr>
        <w:pStyle w:val="Heading2"/>
      </w:pPr>
      <w:r>
        <w:t xml:space="preserve">4.1 Personas and jobs-to-be-done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Persona</w:t>
            </w:r>
          </w:p>
        </w:tc>
        <w:tc>
          <w:tcPr>
            <w:tcW w:type="dxa" w:w="68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Primary jobs-to-be-done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 Lead</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Own the programme; monitor adequacy and cost; configure KPI definitions and thresholds; drive placement strategy.</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 (sponsor/user)</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 compliance and coverage gaps; review risk hotspots; export packs for leadership and audit.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Entity Risk Champion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Upload local policy/broker documents; validate extracted data for their entity; confirm asset values.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Treasury / Finance</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Review premium spend, total cost of risk, and FX-normalised figures; reconcile to GL.</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Internal Auditor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Trace numbers to source documents; review audit trail and access logs.</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System Administrator</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Manage users, roles, reference data, integrations, and KPI/score configuration.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 (external) — V2</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Upload renewal documents via a restricted portal; no access to Group data.</w:t>
            </w:r>
          </w:p>
        </w:tc>
      </w:tr>
    </w:tbl>
    <w:p>
      <w:pPr>
        <w:spacing w:after="160"/>
      </w:pPr>
      <w:r>
        <w:t xml:space="preserve"/>
      </w:r>
    </w:p>
    <w:p>
      <w:pPr>
        <w:pStyle w:val="Heading2"/>
      </w:pPr>
      <w:r>
        <w:t xml:space="preserve">4.2 Role-based access (indicative)</w:t>
      </w:r>
    </w:p>
    <w:p>
      <w:pPr>
        <w:spacing w:after="120" w:before="0" w:line="276"/>
      </w:pPr>
      <w:r>
        <w:rPr>
          <w:i/>
          <w:iCs/>
          <w:sz w:val="18"/>
          <w:szCs w:val="18"/>
        </w:rPr>
        <w:t xml:space="preserve">R = Read, W = Create/Edit, V = Validate extractions, C = Configure, A = Admin. Access is always scoped by entity/BU per the user's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60"/>
        <w:gridCol w:w="1060"/>
        <w:gridCol w:w="1100"/>
        <w:gridCol w:w="1060"/>
        <w:gridCol w:w="1020"/>
        <w:gridCol w:w="1000"/>
      </w:tblGrid>
      <w:tr>
        <w:trPr>
          <w:tblHeader/>
        </w:trPr>
        <w:tc>
          <w:tcPr>
            <w:tcW w:type="dxa" w:w="3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Capability</w:t>
            </w:r>
          </w:p>
        </w:tc>
        <w:tc>
          <w:tcPr>
            <w:tcW w:type="dxa" w:w="1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Grp Ins</w:t>
            </w:r>
          </w:p>
        </w:tc>
        <w:tc>
          <w:tcPr>
            <w:tcW w:type="dxa" w:w="1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R&amp;C Mgr</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Entity Champ</w:t>
            </w:r>
          </w:p>
        </w:tc>
        <w:tc>
          <w:tcPr>
            <w:tcW w:type="dxa" w:w="1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Treasury</w:t>
            </w:r>
          </w:p>
        </w:tc>
        <w:tc>
          <w:tcPr>
            <w:tcW w:type="dxa" w:w="102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Auditor</w:t>
            </w:r>
          </w:p>
        </w:tc>
        <w:tc>
          <w:tcPr>
            <w:tcW w:type="dxa" w:w="1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jc w:val="center"/>
            </w:pPr>
            <w:r>
              <w:rPr>
                <w:b/>
                <w:bCs/>
                <w:color w:val="FFFFFF"/>
                <w:sz w:val="19"/>
                <w:szCs w:val="19"/>
              </w:rPr>
              <w:t xml:space="preserve">Admin</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View dashboards &amp; KPIs</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r>
      <w:tr>
        <w:tc>
          <w:tcPr>
            <w:tcW w:type="dxa" w:w="3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Upload documents</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Validate extracted data</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w:t>
            </w:r>
          </w:p>
        </w:tc>
      </w:tr>
      <w:tr>
        <w:tc>
          <w:tcPr>
            <w:tcW w:type="dxa" w:w="3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Edit policy records</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Configure KPIs / risk weights</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w:t>
            </w:r>
          </w:p>
        </w:tc>
      </w:tr>
      <w:tr>
        <w:tc>
          <w:tcPr>
            <w:tcW w:type="dxa" w:w="3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Manage users &amp; integrations</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A</w:t>
            </w:r>
          </w:p>
        </w:tc>
      </w:tr>
      <w:tr>
        <w:tc>
          <w:tcPr>
            <w:tcW w:type="dxa" w:w="3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View audit trail</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w:t>
            </w:r>
          </w:p>
        </w:tc>
        <w:tc>
          <w:tcPr>
            <w:tcW w:type="dxa" w:w="1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R</w:t>
            </w:r>
          </w:p>
        </w:tc>
        <w:tc>
          <w:tcPr>
            <w:tcW w:type="dxa" w:w="1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A</w:t>
            </w:r>
          </w:p>
        </w:tc>
      </w:tr>
      <w:tr>
        <w:tc>
          <w:tcPr>
            <w:tcW w:type="dxa" w:w="3060"/>
          </w:tcPr>
          <w:p>
            <w:r>
              <w:rPr>
                <w:b w:val="0"/>
                <w:sz w:val="19"/>
              </w:rPr>
              <w:t>Manage third-party contractual requirements</w:t>
            </w:r>
          </w:p>
        </w:tc>
        <w:tc>
          <w:tcPr>
            <w:tcW w:type="dxa" w:w="1060"/>
          </w:tcPr>
          <w:p>
            <w:r>
              <w:rPr>
                <w:b w:val="0"/>
                <w:sz w:val="19"/>
              </w:rPr>
              <w:t>W</w:t>
            </w:r>
          </w:p>
        </w:tc>
        <w:tc>
          <w:tcPr>
            <w:tcW w:type="dxa" w:w="1060"/>
          </w:tcPr>
          <w:p>
            <w:r>
              <w:rPr>
                <w:b w:val="0"/>
                <w:sz w:val="19"/>
              </w:rPr>
              <w:t>W</w:t>
            </w:r>
          </w:p>
        </w:tc>
        <w:tc>
          <w:tcPr>
            <w:tcW w:type="dxa" w:w="1100"/>
          </w:tcPr>
          <w:p>
            <w:r>
              <w:rPr>
                <w:b w:val="0"/>
                <w:sz w:val="19"/>
              </w:rPr>
              <w:t>W*</w:t>
            </w:r>
          </w:p>
        </w:tc>
        <w:tc>
          <w:tcPr>
            <w:tcW w:type="dxa" w:w="1060"/>
          </w:tcPr>
          <w:p>
            <w:r>
              <w:rPr>
                <w:b w:val="0"/>
                <w:sz w:val="19"/>
              </w:rPr>
              <w:t>R</w:t>
            </w:r>
          </w:p>
        </w:tc>
        <w:tc>
          <w:tcPr>
            <w:tcW w:type="dxa" w:w="1020"/>
          </w:tcPr>
          <w:p>
            <w:r>
              <w:rPr>
                <w:b w:val="0"/>
                <w:sz w:val="19"/>
              </w:rPr>
              <w:t>R</w:t>
            </w:r>
          </w:p>
        </w:tc>
        <w:tc>
          <w:tcPr>
            <w:tcW w:type="dxa" w:w="1000"/>
          </w:tcPr>
          <w:p>
            <w:r>
              <w:rPr>
                <w:b w:val="0"/>
                <w:sz w:val="19"/>
              </w:rPr>
              <w:t>W</w:t>
            </w:r>
          </w:p>
        </w:tc>
      </w:tr>
      <w:tr>
        <w:tc>
          <w:tcPr>
            <w:tcW w:type="dxa" w:w="3060"/>
          </w:tcPr>
          <w:p>
            <w:r>
              <w:rPr>
                <w:b w:val="0"/>
                <w:sz w:val="19"/>
              </w:rPr>
              <w:t>Manage insurance exclusions</w:t>
            </w:r>
          </w:p>
        </w:tc>
        <w:tc>
          <w:tcPr>
            <w:tcW w:type="dxa" w:w="1060"/>
          </w:tcPr>
          <w:p>
            <w:r>
              <w:rPr>
                <w:b w:val="0"/>
                <w:sz w:val="19"/>
              </w:rPr>
              <w:t>W</w:t>
            </w:r>
          </w:p>
        </w:tc>
        <w:tc>
          <w:tcPr>
            <w:tcW w:type="dxa" w:w="1060"/>
          </w:tcPr>
          <w:p>
            <w:r>
              <w:rPr>
                <w:b w:val="0"/>
                <w:sz w:val="19"/>
              </w:rPr>
              <w:t>W</w:t>
            </w:r>
          </w:p>
        </w:tc>
        <w:tc>
          <w:tcPr>
            <w:tcW w:type="dxa" w:w="1100"/>
          </w:tcPr>
          <w:p>
            <w:r>
              <w:rPr>
                <w:b w:val="0"/>
                <w:sz w:val="19"/>
              </w:rPr>
              <w:t>W*</w:t>
            </w:r>
          </w:p>
        </w:tc>
        <w:tc>
          <w:tcPr>
            <w:tcW w:type="dxa" w:w="1060"/>
          </w:tcPr>
          <w:p>
            <w:r>
              <w:rPr>
                <w:b w:val="0"/>
                <w:sz w:val="19"/>
              </w:rPr>
              <w:t>R</w:t>
            </w:r>
          </w:p>
        </w:tc>
        <w:tc>
          <w:tcPr>
            <w:tcW w:type="dxa" w:w="1020"/>
          </w:tcPr>
          <w:p>
            <w:r>
              <w:rPr>
                <w:b w:val="0"/>
                <w:sz w:val="19"/>
              </w:rPr>
              <w:t>R</w:t>
            </w:r>
          </w:p>
        </w:tc>
        <w:tc>
          <w:tcPr>
            <w:tcW w:type="dxa" w:w="1000"/>
          </w:tcPr>
          <w:p>
            <w:r>
              <w:rPr>
                <w:b w:val="0"/>
                <w:sz w:val="19"/>
              </w:rPr>
              <w:t>W</w:t>
            </w:r>
          </w:p>
        </w:tc>
      </w:tr>
    </w:tbl>
    <w:p>
      <w:pPr>
        <w:spacing w:after="120" w:before="0" w:line="276"/>
      </w:pPr>
      <w:r>
        <w:rPr>
          <w:i/>
          <w:iCs/>
          <w:sz w:val="18"/>
          <w:szCs w:val="18"/>
        </w:rPr>
        <w:t xml:space="preserve">* Entity Risk Champion access is restricted to their assigned entity/site only.</w:t>
      </w:r>
    </w:p>
    <w:p>
      <w:pPr>
        <w:pStyle w:val="Heading1"/>
      </w:pPr>
      <w:r>
        <w:t xml:space="preserve">5. Scope</w:t>
      </w:r>
    </w:p>
    <w:p>
      <w:pPr>
        <w:pStyle w:val="Heading2"/>
      </w:pPr>
      <w:r>
        <w:t xml:space="preserve">5.1 In scope</w:t>
      </w:r>
    </w:p>
    <w:p>
      <w:pPr>
        <w:pStyle w:val="ListParagraph"/>
        <w:numPr>
          <w:ilvl w:val="0"/>
          <w:numId w:val="2"/>
        </w:numPr>
        <w:spacing w:after="60" w:line="268"/>
      </w:pPr>
      <w:r>
        <w:rPr>
          <w:b w:val="false"/>
          <w:bCs w:val="false"/>
        </w:rPr>
        <w:t xml:space="preserve">All insurance lines listed in Section 17 (Appendix H), across all consolidated/controlled Keppel entities.</w:t>
      </w:r>
    </w:p>
    <w:p>
      <w:pPr>
        <w:pStyle w:val="ListParagraph"/>
        <w:numPr>
          <w:ilvl w:val="0"/>
          <w:numId w:val="2"/>
        </w:numPr>
        <w:spacing w:after="60" w:line="268"/>
      </w:pPr>
      <w:r>
        <w:rPr>
          <w:b w:val="false"/>
          <w:bCs w:val="false"/>
        </w:rPr>
        <w:t xml:space="preserve">Document ingestion for broker slips, policy wordings, schedules, endorsements, debit notes, and renewal documents.</w:t>
      </w:r>
    </w:p>
    <w:p>
      <w:pPr>
        <w:pStyle w:val="ListParagraph"/>
        <w:numPr>
          <w:ilvl w:val="0"/>
          <w:numId w:val="2"/>
        </w:numPr>
        <w:spacing w:after="60" w:line="268"/>
      </w:pPr>
      <w:r>
        <w:rPr>
          <w:b w:val="false"/>
          <w:bCs w:val="false"/>
        </w:rPr>
        <w:t xml:space="preserve">Coverage &amp; risk ratio engine, with FX normalisation and calculation lineage.</w:t>
      </w:r>
    </w:p>
    <w:p>
      <w:pPr>
        <w:pStyle w:val="ListParagraph"/>
        <w:numPr>
          <w:ilvl w:val="0"/>
          <w:numId w:val="2"/>
        </w:numPr>
        <w:spacing w:after="60" w:line="268"/>
      </w:pPr>
      <w:r>
        <w:t>Tracking of third-party contractual insurance requirements — obligations imposed by customers/tenants, lenders, JV partners, and government/concession authorities — against placed coverage, by asset.</w:t>
      </w:r>
    </w:p>
    <w:p>
      <w:pPr>
        <w:pStyle w:val="ListParagraph"/>
        <w:numPr>
          <w:ilvl w:val="0"/>
          <w:numId w:val="2"/>
        </w:numPr>
        <w:spacing w:after="60" w:line="268"/>
      </w:pPr>
      <w:r>
        <w:t>Capture of policy exclusions and sub-limits by asset and coverage line, cross-checked against third-party contractual requirements (Section 6.7) to detect where an exclusion conflicts with what a counterparty actually requires.</w:t>
      </w:r>
    </w:p>
    <w:p>
      <w:pPr>
        <w:pStyle w:val="ListParagraph"/>
        <w:numPr>
          <w:ilvl w:val="0"/>
          <w:numId w:val="2"/>
        </w:numPr>
        <w:spacing w:after="60" w:line="268"/>
      </w:pPr>
      <w:r>
        <w:rPr>
          <w:b w:val="false"/>
          <w:bCs w:val="false"/>
        </w:rPr>
        <w:t xml:space="preserve">Interactive dashboards, risk-hotspot scoring, multi-select filtering, alerts, and reporting/export.</w:t>
      </w:r>
    </w:p>
    <w:p>
      <w:pPr>
        <w:pStyle w:val="ListParagraph"/>
        <w:numPr>
          <w:ilvl w:val="0"/>
          <w:numId w:val="2"/>
        </w:numPr>
        <w:spacing w:after="60" w:line="268"/>
      </w:pPr>
      <w:r>
        <w:rPr>
          <w:b w:val="false"/>
          <w:bCs w:val="false"/>
        </w:rPr>
        <w:t xml:space="preserve">Capture of claims data needed to compute loss ratios and severity/frequency (data capture only).</w:t>
      </w:r>
    </w:p>
    <w:p>
      <w:pPr>
        <w:pStyle w:val="ListParagraph"/>
        <w:numPr>
          <w:ilvl w:val="0"/>
          <w:numId w:val="2"/>
        </w:numPr>
        <w:spacing w:after="60" w:line="268"/>
      </w:pPr>
      <w:r>
        <w:rPr>
          <w:b w:val="false"/>
          <w:bCs w:val="false"/>
        </w:rPr>
        <w:t xml:space="preserve">Role-based access, audit trail, and reference-data management.</w:t>
      </w:r>
    </w:p>
    <w:p>
      <w:pPr>
        <w:pStyle w:val="ListParagraph"/>
        <w:numPr>
          <w:ilvl w:val="0"/>
          <w:numId w:val="2"/>
        </w:numPr>
        <w:spacing w:after="60" w:line="268"/>
      </w:pPr>
      <w:r>
        <w:rPr>
          <w:b w:val="false"/>
          <w:bCs w:val="false"/>
        </w:rPr>
        <w:t xml:space="preserve">News &amp; sector risk intelligence: monitoring of sector and geography news to flag emerging risks and coverage-vs-risk-appetite breaches (delivered in V2).</w:t>
      </w:r>
    </w:p>
    <w:p>
      <w:pPr>
        <w:pStyle w:val="Heading2"/>
      </w:pPr>
      <w:r>
        <w:t xml:space="preserve">5.2 Out of scope (initial release)</w:t>
      </w:r>
    </w:p>
    <w:p>
      <w:pPr>
        <w:pStyle w:val="ListParagraph"/>
        <w:numPr>
          <w:ilvl w:val="0"/>
          <w:numId w:val="2"/>
        </w:numPr>
        <w:spacing w:after="60" w:line="268"/>
      </w:pPr>
      <w:r>
        <w:rPr>
          <w:b w:val="false"/>
          <w:bCs w:val="false"/>
        </w:rPr>
        <w:t xml:space="preserve">End-to-end claims management / first-notice-of-loss workflow (Salus consumes claims data, it does not process claims).</w:t>
      </w:r>
    </w:p>
    <w:p>
      <w:pPr>
        <w:pStyle w:val="ListParagraph"/>
        <w:numPr>
          <w:ilvl w:val="0"/>
          <w:numId w:val="2"/>
        </w:numPr>
        <w:spacing w:after="60" w:line="268"/>
      </w:pPr>
      <w:r>
        <w:rPr>
          <w:b w:val="false"/>
          <w:bCs w:val="false"/>
        </w:rPr>
        <w:t xml:space="preserve">Actuarial loss modelling and catastrophe modelling engines — Salus consumes third-party nat-cat / country-risk indices rather than generating them.</w:t>
      </w:r>
    </w:p>
    <w:p>
      <w:pPr>
        <w:pStyle w:val="ListParagraph"/>
        <w:numPr>
          <w:ilvl w:val="0"/>
          <w:numId w:val="2"/>
        </w:numPr>
        <w:spacing w:after="60" w:line="268"/>
      </w:pPr>
      <w:r>
        <w:rPr>
          <w:b w:val="false"/>
          <w:bCs w:val="false"/>
        </w:rPr>
        <w:t xml:space="preserve">Broker placement, quoting, or premium payment processing.</w:t>
      </w:r>
    </w:p>
    <w:p>
      <w:pPr>
        <w:pStyle w:val="ListParagraph"/>
        <w:numPr>
          <w:ilvl w:val="0"/>
          <w:numId w:val="2"/>
        </w:numPr>
        <w:spacing w:after="60" w:line="268"/>
      </w:pPr>
      <w:r>
        <w:rPr>
          <w:b w:val="false"/>
          <w:bCs w:val="false"/>
        </w:rPr>
        <w:t xml:space="preserve">Joint-venture or associate entities below Keppel's control/consolidation threshold (candidate for V2).</w:t>
      </w:r>
    </w:p>
    <w:p>
      <w:pPr>
        <w:pStyle w:val="Heading2"/>
      </w:pPr>
      <w:r>
        <w:t xml:space="preserve">5.3 Future scope</w:t>
      </w:r>
    </w:p>
    <w:p>
      <w:pPr>
        <w:pStyle w:val="ListParagraph"/>
        <w:numPr>
          <w:ilvl w:val="0"/>
          <w:numId w:val="2"/>
        </w:numPr>
        <w:spacing w:after="60" w:line="268"/>
      </w:pPr>
      <w:r>
        <w:rPr>
          <w:b w:val="false"/>
          <w:bCs w:val="false"/>
        </w:rPr>
        <w:t xml:space="preserve">Predictive analytics (e.g., forecast premium and gap trajectories), automated renewal workflow, and a broker self-service portal.</w:t>
      </w:r>
    </w:p>
    <w:p>
      <w:pPr>
        <w:pStyle w:val="ListParagraph"/>
        <w:numPr>
          <w:ilvl w:val="0"/>
          <w:numId w:val="2"/>
        </w:numPr>
        <w:spacing w:after="60" w:line="268"/>
      </w:pPr>
      <w:r>
        <w:rPr>
          <w:b w:val="false"/>
          <w:bCs w:val="false"/>
        </w:rPr>
        <w:t xml:space="preserve">Direct catastrophe-model integration, ESG/climate exposure overlays, and a mobile companion app.</w:t>
      </w:r>
    </w:p>
    <w:p>
      <w:pPr>
        <w:pStyle w:val="Heading1"/>
      </w:pPr>
      <w:r>
        <w:t xml:space="preserve">6. Functional Requirements</w:t>
      </w:r>
    </w:p>
    <w:p>
      <w:pPr>
        <w:spacing w:after="120" w:before="0" w:line="276"/>
      </w:pPr>
      <w:r>
        <w:t xml:space="preserve">Requirements are grouped by the six core capabilities. Each is uniquely numbered, testable, prioritised using MoSCoW (Must / Should / Could / Won't-yet), and mapped to a release (MVP / V2 / V3).</w:t>
      </w:r>
    </w:p>
    <w:p>
      <w:pPr>
        <w:pStyle w:val="Heading2"/>
      </w:pPr>
      <w:r>
        <w:t xml:space="preserve">6.1 Interactive global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Present a Group-level overview with KPI tiles (coverage adequacy, premium, gaps, renewals due, hotspots).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Support drill-down hierarchy: Group → Business Unit → Entity → Country → Site → Policy.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0"/>
                <w:sz w:val="19"/>
              </w:rPr>
              <w:t>Render an interactive world map of exposure and coverage adequacy by country/site, with markers sized by TIV and coloured by risk band.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Show trend charts (premium, loss ratio, coverage gap) over selectable periods.</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0"/>
                <w:sz w:val="19"/>
              </w:rPr>
              <w:t>Provide a persistent action-items/exception panel (coverage gaps, expiring policies, low-confidence records, contractual requirement gaps) present on every page; on Group Overview and Global Map it shows the full Group-wide list, and on every other page it scopes to items relevant to that page/module.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FR1.6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Every figure is click-through to its underlying policies and source documents.</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Pr>
          <w:p>
            <w:r>
              <w:rPr>
                <w:b w:val="0"/>
                <w:sz w:val="19"/>
              </w:rPr>
              <w:t>FR1.7</w:t>
            </w:r>
          </w:p>
        </w:tc>
        <w:tc>
          <w:tcPr>
            <w:tcW w:type="dxa" w:w="6410"/>
          </w:tcPr>
          <w:p>
            <w:r>
              <w:rPr>
                <w:b w:val="0"/>
                <w:sz w:val="19"/>
              </w:rPr>
              <w:t>Provide an interactive, filterable list of all in-scope assets alongside the map/exposure view, showing key details (country, risk band, score, TIV) at a glance and linking to the same site detail shown by the map.</w:t>
            </w:r>
          </w:p>
        </w:tc>
        <w:tc>
          <w:tcPr>
            <w:tcW w:type="dxa" w:w="1100"/>
          </w:tcPr>
          <w:p>
            <w:r>
              <w:rPr>
                <w:b w:val="0"/>
                <w:sz w:val="19"/>
              </w:rPr>
              <w:t>Must</w:t>
            </w:r>
          </w:p>
        </w:tc>
        <w:tc>
          <w:tcPr>
            <w:tcW w:type="dxa" w:w="900"/>
          </w:tcPr>
          <w:p>
            <w:r>
              <w:rPr>
                <w:b w:val="0"/>
                <w:sz w:val="19"/>
              </w:rPr>
              <w:t>MVP</w:t>
            </w:r>
          </w:p>
        </w:tc>
      </w:tr>
    </w:tbl>
    <w:p>
      <w:pPr>
        <w:spacing w:after="80"/>
      </w:pPr>
      <w:r>
        <w:t xml:space="preserve"/>
      </w:r>
    </w:p>
    <w:p>
      <w:pPr>
        <w:spacing w:after="120" w:line="276"/>
      </w:pPr>
      <w:r>
        <w:rPr>
          <w:b/>
          <w:bCs/>
        </w:rPr>
        <w:t xml:space="preserve">User story: </w:t>
      </w:r>
      <w:r>
        <w:t xml:space="preserve">As an R&amp;C Manager, I want to see Group coverage adequacy at a glance and drill into the worst-covered sites, so that I can prioritise remediation.</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Group overview loads in under 3 seconds with current data.</w:t>
      </w:r>
    </w:p>
    <w:p>
      <w:pPr>
        <w:pStyle w:val="ListParagraph"/>
        <w:numPr>
          <w:ilvl w:val="0"/>
          <w:numId w:val="2"/>
        </w:numPr>
        <w:spacing w:after="60" w:line="268"/>
      </w:pPr>
      <w:r>
        <w:rPr>
          <w:b w:val="false"/>
          <w:bCs w:val="false"/>
        </w:rPr>
        <w:t xml:space="preserve">Selecting a KPI tile filters the view and reveals the contributing entities/sites.</w:t>
      </w:r>
    </w:p>
    <w:p>
      <w:pPr>
        <w:pStyle w:val="ListParagraph"/>
        <w:numPr>
          <w:ilvl w:val="0"/>
          <w:numId w:val="2"/>
        </w:numPr>
        <w:spacing w:after="60" w:line="268"/>
      </w:pPr>
      <w:r>
        <w:rPr>
          <w:b w:val="false"/>
          <w:bCs w:val="false"/>
        </w:rPr>
        <w:t xml:space="preserve">Drill path Group→…→Policy works at every level and respects the user's access scope.</w:t>
      </w:r>
    </w:p>
    <w:p>
      <w:pPr>
        <w:pStyle w:val="ListParagraph"/>
        <w:numPr>
          <w:ilvl w:val="0"/>
          <w:numId w:val="2"/>
        </w:numPr>
        <w:spacing w:after="60" w:line="268"/>
      </w:pPr>
      <w:r>
        <w:rPr>
          <w:b w:val="false"/>
          <w:bCs w:val="false"/>
        </w:rPr>
        <w:t xml:space="preserve">Each KPI value links to the list of policies and documents that produced it.</w:t>
      </w:r>
    </w:p>
    <w:p>
      <w:pPr>
        <w:pStyle w:val="Heading2"/>
      </w:pPr>
      <w:r>
        <w:t xml:space="preserve">6.2 Coverage &amp; risk ratio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Compute all KPIs defined in Section 7 from captured policy, asset, premium, and claims data.</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Normalise all monetary values to [SGD] using a dated FX rate; retain original currency.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Recalculate affected KPIs automatically whenever underlying data changes.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Expose full calculation lineage: inputs, formula, FX rate, and timestamp for every KPI value.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authorised users to configure thresholds/targets per KPI (e.g., ITV &lt; 90% = under-insured).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FR2.6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Support point-in-time / historical KPI snapshots for trend and audit.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Group Insurance, I want coverage ratios computed automatically and traceably, so that I can trust the numbers and explain them to auditors.</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Each KPI matches an independent manual recalculation for a sample of policies.</w:t>
      </w:r>
    </w:p>
    <w:p>
      <w:pPr>
        <w:pStyle w:val="ListParagraph"/>
        <w:numPr>
          <w:ilvl w:val="0"/>
          <w:numId w:val="2"/>
        </w:numPr>
        <w:spacing w:after="60" w:line="268"/>
      </w:pPr>
      <w:r>
        <w:rPr>
          <w:b w:val="false"/>
          <w:bCs w:val="false"/>
        </w:rPr>
        <w:t xml:space="preserve">FX-normalised and original-currency values are both visible.</w:t>
      </w:r>
    </w:p>
    <w:p>
      <w:pPr>
        <w:pStyle w:val="ListParagraph"/>
        <w:numPr>
          <w:ilvl w:val="0"/>
          <w:numId w:val="2"/>
        </w:numPr>
        <w:spacing w:after="60" w:line="268"/>
      </w:pPr>
      <w:r>
        <w:rPr>
          <w:b w:val="false"/>
          <w:bCs w:val="false"/>
        </w:rPr>
        <w:t xml:space="preserve">Changing a sum insured updates the related ratios within the defined SLA.</w:t>
      </w:r>
    </w:p>
    <w:p>
      <w:pPr>
        <w:pStyle w:val="ListParagraph"/>
        <w:numPr>
          <w:ilvl w:val="0"/>
          <w:numId w:val="2"/>
        </w:numPr>
        <w:spacing w:after="60" w:line="268"/>
      </w:pPr>
      <w:r>
        <w:rPr>
          <w:b w:val="false"/>
          <w:bCs w:val="false"/>
        </w:rPr>
        <w:t xml:space="preserve">Lineage view shows every input and the exact formula used.</w:t>
      </w:r>
    </w:p>
    <w:p>
      <w:pPr>
        <w:pStyle w:val="Heading2"/>
      </w:pPr>
      <w:r>
        <w:t xml:space="preserve">6.3 Policy / broker document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Accept uploads of PDF, scanned image, Word, and Excel documents (single and bulk).</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Classify document type (slip, wording, schedule, endorsement, debit note, renewal).</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 the fields in Section 8 using OCR/NLP/IDP, with a confidence score per field.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Route low-confidence or missing fields to a human-in-the-loop validation queue.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On validation, post extracted data to the database and trigger ratio recalculation.</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Retain the source document and link every stored field back to its location in the source.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FR3.7</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Never overwrite a prior value silently — version changes and keep an audit trail.</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FR3.8</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Support reprocessing of a document and multi-language document text.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Pr>
          <w:p>
            <w:r/>
            <w:r>
              <w:t>FR3.9</w:t>
            </w:r>
          </w:p>
        </w:tc>
        <w:tc>
          <w:tcPr>
            <w:tcW w:type="dxa" w:w="6410"/>
          </w:tcPr>
          <w:p>
            <w:r>
              <w:t>Provide an in-system insurance questionnaire so users can manually capture asset/financial fields (e.g., declared value, TIV) when no source document — such as a JV asset register or P&amp;C schedule — is unavailable; manual entries follow the same validation and audit trail as extracted data.</w:t>
            </w:r>
            <w:r>
              <w:t>Provide an in-system insurance questionnaire so users can manually capture asset/financial fields (e.g., declared value, TIV) when no source document — such as a JV asset register or P&amp;C schedule — is available; manual entries follow the same validation and audit trail as extracted data.</w:t>
            </w:r>
          </w:p>
        </w:tc>
        <w:tc>
          <w:tcPr>
            <w:tcW w:type="dxa" w:w="1100"/>
          </w:tcPr>
          <w:p>
            <w:r/>
            <w:r>
              <w:t>Must</w:t>
            </w:r>
          </w:p>
        </w:tc>
        <w:tc>
          <w:tcPr>
            <w:tcW w:type="dxa" w:w="900"/>
          </w:tcPr>
          <w:p>
            <w:r/>
            <w:r>
              <w:t>MVP</w:t>
            </w:r>
          </w:p>
        </w:tc>
      </w:tr>
    </w:tbl>
    <w:p>
      <w:pPr>
        <w:spacing w:after="80"/>
      </w:pPr>
      <w:r>
        <w:t xml:space="preserve"/>
      </w:r>
    </w:p>
    <w:p>
      <w:pPr>
        <w:spacing w:after="120" w:line="276"/>
      </w:pPr>
      <w:r>
        <w:rPr>
          <w:b/>
          <w:bCs/>
        </w:rPr>
        <w:t xml:space="preserve">User story: </w:t>
      </w:r>
      <w:r>
        <w:t xml:space="preserve">As an Entity Risk Champion, I want to upload a broker slip and have the system pre-fill the policy record, so that I only review and confirm rather than type everything.</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Uploading a supported document creates a draft policy record with extracted fields and confidence scores.</w:t>
      </w:r>
    </w:p>
    <w:p>
      <w:pPr>
        <w:pStyle w:val="ListParagraph"/>
        <w:numPr>
          <w:ilvl w:val="0"/>
          <w:numId w:val="2"/>
        </w:numPr>
        <w:spacing w:after="60" w:line="268"/>
      </w:pPr>
      <w:r>
        <w:rPr>
          <w:b w:val="false"/>
          <w:bCs w:val="false"/>
        </w:rPr>
        <w:t xml:space="preserve">Fields below the confidence threshold are flagged for review before posting.</w:t>
      </w:r>
    </w:p>
    <w:p>
      <w:pPr>
        <w:pStyle w:val="ListParagraph"/>
        <w:numPr>
          <w:ilvl w:val="0"/>
          <w:numId w:val="2"/>
        </w:numPr>
        <w:spacing w:after="60" w:line="268"/>
      </w:pPr>
      <w:r>
        <w:rPr>
          <w:b w:val="false"/>
          <w:bCs w:val="false"/>
        </w:rPr>
        <w:t xml:space="preserve">No data reaches the live database until a human validates the draft.</w:t>
      </w:r>
    </w:p>
    <w:p>
      <w:pPr>
        <w:pStyle w:val="ListParagraph"/>
        <w:numPr>
          <w:ilvl w:val="0"/>
          <w:numId w:val="2"/>
        </w:numPr>
        <w:spacing w:after="60" w:line="268"/>
      </w:pPr>
      <w:r>
        <w:rPr>
          <w:b w:val="false"/>
          <w:bCs w:val="false"/>
        </w:rPr>
        <w:t xml:space="preserve">Each posted field links back to the page/region of the source document.</w:t>
      </w:r>
    </w:p>
    <w:p>
      <w:pPr>
        <w:pStyle w:val="ListParagraph"/>
        <w:numPr>
          <w:ilvl w:val="0"/>
          <w:numId w:val="2"/>
        </w:numPr>
        <w:spacing w:after="60" w:line="268"/>
      </w:pPr>
      <w:r>
        <w:rPr>
          <w:b w:val="false"/>
          <w:bCs w:val="false"/>
        </w:rPr>
        <w:t xml:space="preserve">Re-uploading a corrected document creates a new version without losing history.</w:t>
      </w:r>
    </w:p>
    <w:p>
      <w:pPr>
        <w:pStyle w:val="ListParagraph"/>
        <w:numPr>
          <w:ilvl w:val="0"/>
          <w:numId w:val="2"/>
        </w:numPr>
        <w:spacing w:after="60" w:line="268"/>
      </w:pPr>
      <w:r>
        <w:rPr>
          <w:b/>
        </w:rPr>
        <w:t xml:space="preserve">No source document available: </w:t>
      </w:r>
      <w:r>
        <w:t>if a broker/policy document, JV asset register, or P&amp;C schedule cannot be obtained, the Entity Risk Champion (or other authorised user) completes an in-system insurance questionnaire to manually capture the required asset and financial fields; these entries follow the same validation, versioning, and audit trail as extracted data.</w:t>
      </w:r>
    </w:p>
    <w:p>
      <w:pPr>
        <w:pStyle w:val="Heading2"/>
      </w:pPr>
      <w:r>
        <w:t xml:space="preserve">6.4 Risk hotspot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Compute the composite risk score (Section 10) per country, site, entity, and BU.</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Rank and list the highest-risk, under-covered exposures, filterable by insurance line.</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Visualise risk as a geographic heat map.</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Explain each score: show the contributing drivers and their weights for any row.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authorised users to tune the score weights; recompute on change.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FR4.6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users to record a remediation action/owner against a hotspot.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an R&amp;C Manager, I want a ranked list of high-risk, under-covered sites by insurance line, so that I can direct attention where exposure is greatest.</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The ranked list reflects current data and the active filters.</w:t>
      </w:r>
    </w:p>
    <w:p>
      <w:pPr>
        <w:pStyle w:val="ListParagraph"/>
        <w:numPr>
          <w:ilvl w:val="0"/>
          <w:numId w:val="2"/>
        </w:numPr>
        <w:spacing w:after="60" w:line="268"/>
      </w:pPr>
      <w:r>
        <w:rPr>
          <w:b w:val="false"/>
          <w:bCs w:val="false"/>
        </w:rPr>
        <w:t xml:space="preserve">Each row explains why it scored as it did (driver breakdown).</w:t>
      </w:r>
    </w:p>
    <w:p>
      <w:pPr>
        <w:pStyle w:val="ListParagraph"/>
        <w:numPr>
          <w:ilvl w:val="0"/>
          <w:numId w:val="2"/>
        </w:numPr>
        <w:spacing w:after="60" w:line="268"/>
      </w:pPr>
      <w:r>
        <w:rPr>
          <w:b w:val="false"/>
          <w:bCs w:val="false"/>
        </w:rPr>
        <w:t xml:space="preserve">Adjusting weights (authorised users) re-ranks the list transparently.</w:t>
      </w:r>
    </w:p>
    <w:p>
      <w:pPr>
        <w:pStyle w:val="Heading2"/>
      </w:pPr>
      <w:r>
        <w:t xml:space="preserve">6.5 Multi-select coverage filter /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Provide a persistent filter bar to multiselect/toggle insurance lines (Section 17).</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Filter additionally by region/country, entity/BU, carrier, broker, status, and renewal window.</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Offer quick toggles: 'coverage gaps only', 'expiring in 90 days', 'high-risk only'.</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Apply filters globally across every view and combine with the drill-down hierarchy.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MVP</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FR5.5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Allow users to save and reuse filter presets.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Could</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any user, I want to toggle insurance lines and dimensions, so that I can focus the whole dashboard on the slice I care about.</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Selecting multiple insurance lines updates all visible KPIs, lists, and maps consistently.</w:t>
      </w:r>
    </w:p>
    <w:p>
      <w:pPr>
        <w:pStyle w:val="ListParagraph"/>
        <w:numPr>
          <w:ilvl w:val="0"/>
          <w:numId w:val="2"/>
        </w:numPr>
        <w:spacing w:after="60" w:line="268"/>
      </w:pPr>
      <w:r>
        <w:rPr>
          <w:b w:val="false"/>
          <w:bCs w:val="false"/>
        </w:rPr>
        <w:t xml:space="preserve">Quick toggles immediately constrain the view and can be combined.</w:t>
      </w:r>
    </w:p>
    <w:p>
      <w:pPr>
        <w:pStyle w:val="ListParagraph"/>
        <w:numPr>
          <w:ilvl w:val="0"/>
          <w:numId w:val="2"/>
        </w:numPr>
        <w:spacing w:after="60" w:line="268"/>
      </w:pPr>
      <w:r>
        <w:rPr>
          <w:b w:val="false"/>
          <w:bCs w:val="false"/>
        </w:rPr>
        <w:t xml:space="preserve">Filter state persists as the user drills down and navigates between views.</w:t>
      </w:r>
    </w:p>
    <w:p>
      <w:pPr>
        <w:pStyle w:val="Heading2"/>
      </w:pPr>
      <w:r>
        <w:t xml:space="preserve">6.6 News &amp; sector risk intelligence</w:t>
      </w:r>
    </w:p>
    <w:p>
      <w:pPr>
        <w:spacing w:after="120" w:before="0" w:line="276"/>
      </w:pPr>
      <w:r>
        <w:t xml:space="preserve">This capability continuously monitors news and events in the sectors and geographies Keppel invests in (infrastructure, real estate, connectivity/data centres, and energy &amp; environment), assesses how developments affect the risk profile of specific assets, and pre-emptively flags where projected exposure may fall outside risk appetite or available coverage. News is decision-support only: it never changes coverage or KPI data without human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rPr>
          <w:tblHeader/>
        </w:trPr>
        <w:tc>
          <w:tcPr>
            <w:tcW w:type="dxa" w:w="9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ID</w:t>
            </w:r>
          </w:p>
        </w:tc>
        <w:tc>
          <w:tcPr>
            <w:tcW w:type="dxa" w:w="641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c>
          <w:tcPr>
            <w:tcW w:type="dxa" w:w="1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MoSCoW</w:t>
            </w:r>
          </w:p>
        </w:tc>
        <w:tc>
          <w:tcPr>
            <w:tcW w:type="dxa" w:w="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FR6.1</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Continuously ingest external news/events filtered to Keppel's sectors, geographies, asset types, counterparties, and perils.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FR6.2</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Classify and tag each item by sector, geography, peril/theme (nat-cat, regulatory, political, cyber, supply chain, ESG/climate, litigation) and severity.</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FR6.3</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 relevant items to affected sites, assets, entities, and policies via the entity &amp; location master.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FR6.4</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Estimate the directional impact on the asset's risk profile and affected KPIs (e.g., raised PML, new peril exposure) as a scored emerging-risk signal.</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FR6.5</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Compare forward-looking exposure against risk appetite and current coverage; flag assets/lines projected to breach appetite or exceed cover.</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FR6.6</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Feed the emerging-risk signal as an optional, weighted input to the composite risk score (Section 10).</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Should</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FR6.7</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Surface a curated, source-cited news feed and emerging-risk watchlist; every signal links to its source article(s).</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FR6.8</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Raise pre-emptive alerts when a signal indicates a potential appetite breach or coverage shortfall.</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FR6.9</w:t>
            </w:r>
          </w:p>
        </w:tc>
        <w:tc>
          <w:tcPr>
            <w:tcW w:type="dxa" w:w="641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Human-in-the-loop review: analysts confirm or dismiss signals; news never auto-changes coverage or KPI data, and dismissed signals tune relevance.</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r>
        <w:tc>
          <w:tcPr>
            <w:tcW w:type="dxa" w:w="9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FR6.10</w:t>
            </w:r>
          </w:p>
        </w:tc>
        <w:tc>
          <w:tcPr>
            <w:tcW w:type="dxa" w:w="641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Store provenance (source, publisher, timestamp); never present an unverified news inference as established fact.</w:t>
            </w:r>
          </w:p>
        </w:tc>
        <w:tc>
          <w:tcPr>
            <w:tcW w:type="dxa" w:w="1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Must</w:t>
            </w:r>
          </w:p>
        </w:tc>
        <w:tc>
          <w:tcPr>
            <w:tcW w:type="dxa" w:w="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V2</w:t>
            </w:r>
          </w:p>
        </w:tc>
      </w:tr>
    </w:tbl>
    <w:p>
      <w:pPr>
        <w:spacing w:after="80"/>
      </w:pPr>
      <w:r>
        <w:t xml:space="preserve"/>
      </w:r>
    </w:p>
    <w:p>
      <w:pPr>
        <w:spacing w:after="120" w:line="276"/>
      </w:pPr>
      <w:r>
        <w:rPr>
          <w:b/>
          <w:bCs/>
        </w:rPr>
        <w:t xml:space="preserve">User story: </w:t>
      </w:r>
      <w:r>
        <w:t xml:space="preserve">As an R&amp;C Manager, I want the system to monitor news across the sectors and countries we invest in and warn me when an emerging development could push an asset's risk beyond our appetite or beyond its cover, so that I can act before renewal rather than after a loss.</w:t>
      </w:r>
    </w:p>
    <w:p>
      <w:pPr>
        <w:spacing w:after="40" w:line="276"/>
      </w:pPr>
      <w:r>
        <w:rPr>
          <w:b/>
          <w:bCs/>
        </w:rPr>
        <w:t xml:space="preserve">Acceptance criteria:</w:t>
      </w:r>
    </w:p>
    <w:p>
      <w:pPr>
        <w:pStyle w:val="ListParagraph"/>
        <w:numPr>
          <w:ilvl w:val="0"/>
          <w:numId w:val="2"/>
        </w:numPr>
        <w:spacing w:after="60" w:line="268"/>
      </w:pPr>
      <w:r>
        <w:rPr>
          <w:b w:val="false"/>
          <w:bCs w:val="false"/>
        </w:rPr>
        <w:t xml:space="preserve">News items are filtered to in-scope sectors/geographies and linked to the correct assets and entities.</w:t>
      </w:r>
    </w:p>
    <w:p>
      <w:pPr>
        <w:pStyle w:val="ListParagraph"/>
        <w:numPr>
          <w:ilvl w:val="0"/>
          <w:numId w:val="2"/>
        </w:numPr>
        <w:spacing w:after="60" w:line="268"/>
      </w:pPr>
      <w:r>
        <w:rPr>
          <w:b w:val="false"/>
          <w:bCs w:val="false"/>
        </w:rPr>
        <w:t xml:space="preserve">Each signal shows its source article(s), classification, severity, and the assets/policies it affects.</w:t>
      </w:r>
    </w:p>
    <w:p>
      <w:pPr>
        <w:pStyle w:val="ListParagraph"/>
        <w:numPr>
          <w:ilvl w:val="0"/>
          <w:numId w:val="2"/>
        </w:numPr>
        <w:spacing w:after="60" w:line="268"/>
      </w:pPr>
      <w:r>
        <w:rPr>
          <w:b w:val="false"/>
          <w:bCs w:val="false"/>
        </w:rPr>
        <w:t xml:space="preserve">When projected exposure exceeds risk appetite or coverage, a pre-emptive alert reaches the right owner.</w:t>
      </w:r>
    </w:p>
    <w:p>
      <w:pPr>
        <w:pStyle w:val="ListParagraph"/>
        <w:numPr>
          <w:ilvl w:val="0"/>
          <w:numId w:val="2"/>
        </w:numPr>
        <w:spacing w:after="60" w:line="268"/>
      </w:pPr>
      <w:r>
        <w:rPr>
          <w:b w:val="false"/>
          <w:bCs w:val="false"/>
        </w:rPr>
        <w:t xml:space="preserve">An analyst can confirm or dismiss a signal; no coverage or KPI data changes without human action.</w:t>
      </w:r>
    </w:p>
    <w:p>
      <w:pPr>
        <w:pStyle w:val="ListParagraph"/>
        <w:numPr>
          <w:ilvl w:val="0"/>
          <w:numId w:val="2"/>
        </w:numPr>
        <w:spacing w:after="60" w:line="268"/>
      </w:pPr>
      <w:r>
        <w:rPr>
          <w:b w:val="false"/>
          <w:bCs w:val="false"/>
        </w:rPr>
        <w:t xml:space="preserve">Every signal is explainable and traceable to its source.</w:t>
      </w:r>
    </w:p>
    <w:p>
      <w:pPr>
        <w:pStyle w:val="Heading2"/>
      </w:pPr>
      <w:r>
        <w:t>6.7 Third-party contractual insurance requirements tracking</w:t>
      </w:r>
    </w:p>
    <w:p>
      <w:pPr>
        <w:spacing w:after="120" w:before="0" w:line="276"/>
      </w:pPr>
      <w:r>
        <w:t>This capability tracks the insurance requirements that third parties — customers/tenants, lenders, JV partners, and government/concession authorities — contractually impose on an asset (e.g., a minimum Industrial All Risks limit under a facility agreement, or a minimum cyber limit under a tenant lease), and continuously compares them against what is actually placed, so gaps are visible before they become a breach of contract or covenant.</w:t>
      </w:r>
    </w:p>
    <w:p>
      <w:pPr>
        <w:spacing w:after="120" w:before="0" w:line="276"/>
      </w:pPr>
      <w:r>
        <w:rPr>
          <w:b/>
        </w:rPr>
        <w:t xml:space="preserve">User story: </w:t>
      </w:r>
      <w:r>
        <w:t>As a Group Insurance Lead, I want to see every contractual insurance obligation imposed on us by customers, lenders, and JV partners alongside what we have actually placed, so that I can close gaps before they become a breach of contract or covenant.</w:t>
      </w:r>
    </w:p>
    <w:p>
      <w:pPr>
        <w:spacing w:after="120" w:before="0" w:line="276"/>
      </w:pPr>
      <w:r>
        <w:rPr>
          <w:b/>
        </w:rPr>
        <w:t>Acceptance criteria:</w:t>
      </w:r>
      <w:r/>
    </w:p>
    <w:p>
      <w:pPr>
        <w:pStyle w:val="ListParagraph"/>
        <w:numPr>
          <w:ilvl w:val="0"/>
          <w:numId w:val="2"/>
        </w:numPr>
        <w:spacing w:after="60" w:line="268"/>
      </w:pPr>
      <w:r>
        <w:t>Every tracked requirement shows its required limit, currently placed limit, counterparty type, and status (Met / At-risk / Gap) at a glance.</w:t>
      </w:r>
    </w:p>
    <w:p>
      <w:pPr>
        <w:pStyle w:val="ListParagraph"/>
        <w:numPr>
          <w:ilvl w:val="0"/>
          <w:numId w:val="2"/>
        </w:numPr>
        <w:spacing w:after="60" w:line="268"/>
      </w:pPr>
      <w:r>
        <w:t>A requirement's status recalculates automatically when the linked policy's placed limit changes.</w:t>
      </w:r>
    </w:p>
    <w:p>
      <w:pPr>
        <w:pStyle w:val="ListParagraph"/>
        <w:numPr>
          <w:ilvl w:val="0"/>
          <w:numId w:val="2"/>
        </w:numPr>
        <w:spacing w:after="60" w:line="268"/>
      </w:pPr>
      <w:r>
        <w:t>Filtering to 'gaps &amp; at-risk only' returns only requirements below the Met threshold.</w:t>
      </w:r>
    </w:p>
    <w:p>
      <w:pPr>
        <w:pStyle w:val="ListParagraph"/>
        <w:numPr>
          <w:ilvl w:val="0"/>
          <w:numId w:val="2"/>
        </w:numPr>
        <w:spacing w:after="60" w:line="268"/>
      </w:pPr>
      <w:r>
        <w:t>Each requirement links back to its contractual source (agreement/clause reference) and the asset it applies to.</w:t>
      </w:r>
    </w:p>
    <w:p>
      <w:pPr>
        <w:pStyle w:val="ListParagraph"/>
        <w:numPr>
          <w:ilvl w:val="0"/>
          <w:numId w:val="2"/>
        </w:numPr>
        <w:spacing w:after="60" w:line="268"/>
      </w:pPr>
      <w:r>
        <w:t>Open gaps appear in the Action Items panel (FR1.5) within the defined SLA.</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c>
          <w:tcPr>
            <w:tcW w:type="dxa" w:w="2340"/>
          </w:tcPr>
          <w:p>
            <w:r>
              <w:rPr>
                <w:b/>
                <w:sz w:val="19"/>
              </w:rPr>
              <w:t>ID</w:t>
            </w:r>
          </w:p>
        </w:tc>
        <w:tc>
          <w:tcPr>
            <w:tcW w:type="dxa" w:w="2340"/>
          </w:tcPr>
          <w:p>
            <w:r>
              <w:rPr>
                <w:b/>
                <w:sz w:val="19"/>
              </w:rPr>
              <w:t>Requirement</w:t>
            </w:r>
          </w:p>
        </w:tc>
        <w:tc>
          <w:tcPr>
            <w:tcW w:type="dxa" w:w="2340"/>
          </w:tcPr>
          <w:p>
            <w:r>
              <w:rPr>
                <w:b/>
                <w:sz w:val="19"/>
              </w:rPr>
              <w:t>MoSCoW</w:t>
            </w:r>
          </w:p>
        </w:tc>
        <w:tc>
          <w:tcPr>
            <w:tcW w:type="dxa" w:w="2340"/>
          </w:tcPr>
          <w:p>
            <w:r>
              <w:rPr>
                <w:b/>
                <w:sz w:val="19"/>
              </w:rPr>
              <w:t>Release</w:t>
            </w:r>
          </w:p>
        </w:tc>
      </w:tr>
      <w:tr>
        <w:tc>
          <w:tcPr>
            <w:tcW w:type="dxa" w:w="2340"/>
          </w:tcPr>
          <w:p>
            <w:r>
              <w:rPr>
                <w:b w:val="0"/>
                <w:sz w:val="19"/>
              </w:rPr>
              <w:t>FR7.1</w:t>
            </w:r>
          </w:p>
        </w:tc>
        <w:tc>
          <w:tcPr>
            <w:tcW w:type="dxa" w:w="2340"/>
          </w:tcPr>
          <w:p>
            <w:r>
              <w:rPr>
                <w:b w:val="0"/>
                <w:sz w:val="19"/>
              </w:rPr>
              <w:t>Capture third-party contractual insurance requirements per asset, tagged by counterparty type (Customer/Tenant, Lender, JV Partner, Government/Concession) and coverage line.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FR7.2</w:t>
            </w:r>
          </w:p>
        </w:tc>
        <w:tc>
          <w:tcPr>
            <w:tcW w:type="dxa" w:w="2340"/>
          </w:tcPr>
          <w:p>
            <w:r>
              <w:rPr>
                <w:b w:val="0"/>
                <w:sz w:val="19"/>
              </w:rPr>
              <w:t>Record the required limit/term (e.g., sum insured, indemnity period) and its contractual source (agreement name and clause reference) for each requirement.</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FR7.3</w:t>
            </w:r>
          </w:p>
        </w:tc>
        <w:tc>
          <w:tcPr>
            <w:tcW w:type="dxa" w:w="2340"/>
          </w:tcPr>
          <w:p>
            <w:r>
              <w:rPr>
                <w:b w:val="0"/>
                <w:sz w:val="19"/>
              </w:rPr>
              <w:t>Compare each requirement's required limit against currently placed coverage and classify status as Met, At-risk (within a configurable tolerance, default 10%), or Gap.</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FR7.4</w:t>
            </w:r>
          </w:p>
        </w:tc>
        <w:tc>
          <w:tcPr>
            <w:tcW w:type="dxa" w:w="2340"/>
          </w:tcPr>
          <w:p>
            <w:r>
              <w:rPr>
                <w:b w:val="0"/>
                <w:sz w:val="19"/>
              </w:rPr>
              <w:t>Surface all open gaps and at-risk requirements in a dedicated register, filterable by asset, counterparty type, and coverage line.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FR7.5</w:t>
            </w:r>
          </w:p>
        </w:tc>
        <w:tc>
          <w:tcPr>
            <w:tcW w:type="dxa" w:w="2340"/>
          </w:tcPr>
          <w:p>
            <w:r>
              <w:rPr>
                <w:b w:val="0"/>
                <w:sz w:val="19"/>
              </w:rPr>
              <w:t>Escalate open contractual gaps to the Action Items panel (FR1.5) with priority reflecting counterparty type and shortfall size.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FR7.6</w:t>
            </w:r>
          </w:p>
        </w:tc>
        <w:tc>
          <w:tcPr>
            <w:tcW w:type="dxa" w:w="2340"/>
          </w:tcPr>
          <w:p>
            <w:r>
              <w:rPr>
                <w:b w:val="0"/>
                <w:sz w:val="19"/>
              </w:rPr>
              <w:t>Recalculate requirement status automatically when placed coverage changes, consistent with the ratio engine's recalculation behaviour (FR2.3).</w:t>
            </w:r>
          </w:p>
        </w:tc>
        <w:tc>
          <w:tcPr>
            <w:tcW w:type="dxa" w:w="2340"/>
          </w:tcPr>
          <w:p>
            <w:r>
              <w:rPr>
                <w:b w:val="0"/>
                <w:sz w:val="19"/>
              </w:rPr>
              <w:t>Should</w:t>
            </w:r>
          </w:p>
        </w:tc>
        <w:tc>
          <w:tcPr>
            <w:tcW w:type="dxa" w:w="2340"/>
          </w:tcPr>
          <w:p>
            <w:r>
              <w:rPr>
                <w:b w:val="0"/>
                <w:sz w:val="19"/>
              </w:rPr>
              <w:t>V2</w:t>
            </w:r>
          </w:p>
        </w:tc>
      </w:tr>
    </w:tbl>
    <w:p>
      <w:pPr>
        <w:pStyle w:val="Heading2"/>
      </w:pPr>
      <w:r>
        <w:t>6.8 In-app Salus Assistant (conversational Q&amp;A)</w:t>
      </w:r>
    </w:p>
    <w:p>
      <w:pPr>
        <w:spacing w:after="120" w:before="0" w:line="276"/>
      </w:pPr>
      <w:r>
        <w:t>A persistent, in-app conversational assistant lets any user ask natural-language questions about coverage, sites, renewals, risk scores, and third-party contractual requirements (Section 6.7) without leaving the view they are on. It is decision-support only: it answers from live Salus data and never edits records.</w:t>
      </w:r>
    </w:p>
    <w:p>
      <w:pPr>
        <w:spacing w:after="120" w:before="0" w:line="276"/>
      </w:pPr>
      <w:r>
        <w:rPr>
          <w:b/>
        </w:rPr>
        <w:t xml:space="preserve">User story: </w:t>
      </w:r>
      <w:r>
        <w:t>As any user, I want to ask the Salus Assistant plain-language questions about the data I am looking at, so that I can get an answer without building a filter or navigating away.</w:t>
      </w:r>
    </w:p>
    <w:p>
      <w:pPr>
        <w:spacing w:after="120" w:before="0" w:line="276"/>
      </w:pPr>
      <w:r>
        <w:rPr>
          <w:b/>
        </w:rPr>
        <w:t>Acceptance criteria:</w:t>
      </w:r>
      <w:r/>
    </w:p>
    <w:p>
      <w:pPr>
        <w:pStyle w:val="ListParagraph"/>
        <w:numPr>
          <w:ilvl w:val="0"/>
          <w:numId w:val="2"/>
        </w:numPr>
        <w:spacing w:after="60" w:line="268"/>
      </w:pPr>
      <w:r>
        <w:t>The assistant panel is present on every page and cannot be dismissed or minimised.</w:t>
      </w:r>
    </w:p>
    <w:p>
      <w:pPr>
        <w:pStyle w:val="ListParagraph"/>
        <w:numPr>
          <w:ilvl w:val="0"/>
          <w:numId w:val="2"/>
        </w:numPr>
        <w:spacing w:after="60" w:line="268"/>
      </w:pPr>
      <w:r>
        <w:t>Suggested prompts default to questions relevant to the page/module currently in view (e.g., Global Map surfaces geography/exposure questions; Contract Requirements surfaces gap/covenant questions).</w:t>
      </w:r>
    </w:p>
    <w:p>
      <w:pPr>
        <w:pStyle w:val="ListParagraph"/>
        <w:numPr>
          <w:ilvl w:val="0"/>
          <w:numId w:val="2"/>
        </w:numPr>
        <w:spacing w:after="60" w:line="268"/>
      </w:pPr>
      <w:r>
        <w:t>Every answer is traceable to the underlying KPI, policy, or requirement record it was derived from.</w:t>
      </w:r>
    </w:p>
    <w:p>
      <w:pPr>
        <w:pStyle w:val="ListParagraph"/>
        <w:numPr>
          <w:ilvl w:val="0"/>
          <w:numId w:val="2"/>
        </w:numPr>
        <w:spacing w:after="60" w:line="268"/>
      </w:pPr>
      <w:r>
        <w:t>A typed free-text question is matched to the best available answer; if none is available, the assistant says so rather than guessing.</w:t>
      </w:r>
    </w:p>
    <w:p>
      <w:pPr>
        <w:pStyle w:val="Heading2"/>
      </w:pPr>
      <w:r>
        <w:t>6.9 Insurance exclusions &amp; contractual conflict detection</w:t>
      </w:r>
    </w:p>
    <w:p>
      <w:pPr>
        <w:spacing w:after="120" w:before="0" w:line="276"/>
      </w:pPr>
      <w:r>
        <w:t>This capability captures policy exclusions and sub-limits at asset and coverage-line level, and cross-checks each one against the Contract Requirements register (Section 6.7). A requirement can be numerically satisfied by its placed limit and still fail in substance if the specific peril the counterparty cares about is excluded or sub-limited well below the requirement — this capability makes that distinction visible rather than letting a passing limit hide it.</w:t>
      </w:r>
    </w:p>
    <w:p>
      <w:pPr>
        <w:spacing w:after="120" w:before="0" w:line="276"/>
      </w:pPr>
      <w:r>
        <w:rPr>
          <w:b/>
        </w:rPr>
        <w:t xml:space="preserve">User story: </w:t>
      </w:r>
      <w:r>
        <w:t>As a Group Insurance Lead, I want policy exclusions checked against what our contracts and covenants actually require, so that a numerically compliant limit doesn't hide a peril that isn't covered at all.</w:t>
      </w:r>
    </w:p>
    <w:p>
      <w:pPr>
        <w:spacing w:after="120" w:before="0" w:line="276"/>
      </w:pPr>
      <w:r>
        <w:rPr>
          <w:b/>
        </w:rPr>
        <w:t>Acceptance criteria:</w:t>
      </w:r>
      <w:r/>
    </w:p>
    <w:p>
      <w:pPr>
        <w:pStyle w:val="ListParagraph"/>
        <w:numPr>
          <w:ilvl w:val="0"/>
          <w:numId w:val="2"/>
        </w:numPr>
        <w:spacing w:after="60" w:line="268"/>
      </w:pPr>
      <w:r>
        <w:t>Every tracked exclusion shows its scope (full exclusion vs sub-limit), the affected coverage line, and its source policy-wording clause.</w:t>
      </w:r>
    </w:p>
    <w:p>
      <w:pPr>
        <w:pStyle w:val="ListParagraph"/>
        <w:numPr>
          <w:ilvl w:val="0"/>
          <w:numId w:val="2"/>
        </w:numPr>
        <w:spacing w:after="60" w:line="268"/>
      </w:pPr>
      <w:r>
        <w:t>A Contract Requirement whose peril is excluded or materially sub-limited shows status 'Excluded', with an inline note explaining which exclusion caused it and why — even when its placed limit numerically meets the requirement.</w:t>
      </w:r>
    </w:p>
    <w:p>
      <w:pPr>
        <w:pStyle w:val="ListParagraph"/>
        <w:numPr>
          <w:ilvl w:val="0"/>
          <w:numId w:val="2"/>
        </w:numPr>
        <w:spacing w:after="60" w:line="268"/>
      </w:pPr>
      <w:r>
        <w:t>Exclusion conflicts appear in the Action Items panel (FR1.5) within the defined SLA.</w:t>
      </w:r>
    </w:p>
    <w:p>
      <w:pPr>
        <w:pStyle w:val="ListParagraph"/>
        <w:numPr>
          <w:ilvl w:val="0"/>
          <w:numId w:val="2"/>
        </w:numPr>
        <w:spacing w:after="60" w:line="268"/>
      </w:pPr>
      <w:r>
        <w:t>Filtering the exclusion register to 'conflicts only' returns only exclusions that undermine an open Contract Requirement.</w:t>
      </w:r>
    </w:p>
    <w:p>
      <w:pPr>
        <w:pStyle w:val="ListParagraph"/>
        <w:numPr>
          <w:ilvl w:val="0"/>
          <w:numId w:val="2"/>
        </w:numPr>
        <w:spacing w:after="60" w:line="268"/>
      </w:pPr>
      <w:r>
        <w:t>Global Map, Coverage Adequacy, and Risk Hotspots surface a contextual warning, linking back to the Insurance Exclusions register, for any asset carrying a conflict.</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c>
          <w:tcPr>
            <w:tcW w:type="dxa" w:w="2340"/>
          </w:tcPr>
          <w:p>
            <w:r>
              <w:rPr>
                <w:b/>
                <w:sz w:val="19"/>
              </w:rPr>
              <w:t>ID</w:t>
            </w:r>
          </w:p>
        </w:tc>
        <w:tc>
          <w:tcPr>
            <w:tcW w:type="dxa" w:w="2340"/>
          </w:tcPr>
          <w:p>
            <w:r>
              <w:rPr>
                <w:b/>
                <w:sz w:val="19"/>
              </w:rPr>
              <w:t>Requirement</w:t>
            </w:r>
          </w:p>
        </w:tc>
        <w:tc>
          <w:tcPr>
            <w:tcW w:type="dxa" w:w="2340"/>
          </w:tcPr>
          <w:p>
            <w:r>
              <w:rPr>
                <w:b/>
                <w:sz w:val="19"/>
              </w:rPr>
              <w:t>MoSCoW</w:t>
            </w:r>
          </w:p>
        </w:tc>
        <w:tc>
          <w:tcPr>
            <w:tcW w:type="dxa" w:w="2340"/>
          </w:tcPr>
          <w:p>
            <w:r>
              <w:rPr>
                <w:b/>
                <w:sz w:val="19"/>
              </w:rPr>
              <w:t>Release</w:t>
            </w:r>
          </w:p>
        </w:tc>
      </w:tr>
      <w:tr>
        <w:tc>
          <w:tcPr>
            <w:tcW w:type="dxa" w:w="2340"/>
          </w:tcPr>
          <w:p>
            <w:r>
              <w:rPr>
                <w:b w:val="0"/>
                <w:sz w:val="19"/>
              </w:rPr>
              <w:t>FR9.1</w:t>
            </w:r>
          </w:p>
        </w:tc>
        <w:tc>
          <w:tcPr>
            <w:tcW w:type="dxa" w:w="2340"/>
          </w:tcPr>
          <w:p>
            <w:r>
              <w:rPr>
                <w:b w:val="0"/>
                <w:sz w:val="19"/>
              </w:rPr>
              <w:t>Capture policy exclusions and sub-limits per asset and coverage line, including scope (full exclusion vs sub-limit) and source clause reference.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FR9.2</w:t>
            </w:r>
          </w:p>
        </w:tc>
        <w:tc>
          <w:tcPr>
            <w:tcW w:type="dxa" w:w="2340"/>
          </w:tcPr>
          <w:p>
            <w:r>
              <w:rPr>
                <w:b w:val="0"/>
                <w:sz w:val="19"/>
              </w:rPr>
              <w:t>Cross-check each exclusion against the Contract Requirements register (FR7) for the same asset and coverage line.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FR9.3</w:t>
            </w:r>
          </w:p>
        </w:tc>
        <w:tc>
          <w:tcPr>
            <w:tcW w:type="dxa" w:w="2340"/>
          </w:tcPr>
          <w:p>
            <w:r>
              <w:rPr>
                <w:b w:val="0"/>
                <w:sz w:val="19"/>
              </w:rPr>
              <w:t>Where an exclusion undermines a specific contract requirement, mark that requirement's status as 'Excluded' — distinct from Met, At-risk, and Gap — even where the placed limit numerically satisfies the requirement.</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FR9.4</w:t>
            </w:r>
          </w:p>
        </w:tc>
        <w:tc>
          <w:tcPr>
            <w:tcW w:type="dxa" w:w="2340"/>
          </w:tcPr>
          <w:p>
            <w:r>
              <w:rPr>
                <w:b w:val="0"/>
                <w:sz w:val="19"/>
              </w:rPr>
              <w:t>Surface exclusion conflicts on the Global Map, Coverage Adequacy, and Risk Hotspots views as a contextual warning linking back to the Insurance Exclusions register.</w:t>
            </w:r>
          </w:p>
        </w:tc>
        <w:tc>
          <w:tcPr>
            <w:tcW w:type="dxa" w:w="2340"/>
          </w:tcPr>
          <w:p>
            <w:r>
              <w:rPr>
                <w:b w:val="0"/>
                <w:sz w:val="19"/>
              </w:rPr>
              <w:t>Should</w:t>
            </w:r>
          </w:p>
        </w:tc>
        <w:tc>
          <w:tcPr>
            <w:tcW w:type="dxa" w:w="2340"/>
          </w:tcPr>
          <w:p>
            <w:r>
              <w:rPr>
                <w:b w:val="0"/>
                <w:sz w:val="19"/>
              </w:rPr>
              <w:t>MVP</w:t>
            </w:r>
          </w:p>
        </w:tc>
      </w:tr>
      <w:tr>
        <w:tc>
          <w:tcPr>
            <w:tcW w:type="dxa" w:w="2340"/>
          </w:tcPr>
          <w:p>
            <w:r>
              <w:rPr>
                <w:b w:val="0"/>
                <w:sz w:val="19"/>
              </w:rPr>
              <w:t>FR9.5</w:t>
            </w:r>
          </w:p>
        </w:tc>
        <w:tc>
          <w:tcPr>
            <w:tcW w:type="dxa" w:w="2340"/>
          </w:tcPr>
          <w:p>
            <w:r>
              <w:rPr>
                <w:b w:val="0"/>
                <w:sz w:val="19"/>
              </w:rPr>
              <w:t>Escalate exclusion conflicts to the Action Items panel (FR1.5) with priority reflecting counterparty type and exposure.</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FR9.6</w:t>
            </w:r>
          </w:p>
        </w:tc>
        <w:tc>
          <w:tcPr>
            <w:tcW w:type="dxa" w:w="2340"/>
          </w:tcPr>
          <w:p>
            <w:r>
              <w:rPr>
                <w:b w:val="0"/>
                <w:sz w:val="19"/>
              </w:rPr>
              <w:t>Provide a filterable register of all exclusions, with an all / conflicts-only view.</w:t>
            </w:r>
          </w:p>
        </w:tc>
        <w:tc>
          <w:tcPr>
            <w:tcW w:type="dxa" w:w="2340"/>
          </w:tcPr>
          <w:p>
            <w:r>
              <w:rPr>
                <w:b w:val="0"/>
                <w:sz w:val="19"/>
              </w:rPr>
              <w:t>Must</w:t>
            </w:r>
          </w:p>
        </w:tc>
        <w:tc>
          <w:tcPr>
            <w:tcW w:type="dxa" w:w="2340"/>
          </w:tcPr>
          <w:p>
            <w:r>
              <w:rPr>
                <w:b w:val="0"/>
                <w:sz w:val="19"/>
              </w:rPr>
              <w:t>MVP</w:t>
            </w:r>
          </w:p>
        </w:tc>
      </w:tr>
    </w:tbl>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6410"/>
        <w:gridCol w:w="1100"/>
        <w:gridCol w:w="900"/>
      </w:tblGrid>
      <w:tr>
        <w:tc>
          <w:tcPr>
            <w:tcW w:type="dxa" w:w="2340"/>
          </w:tcPr>
          <w:p>
            <w:r>
              <w:rPr>
                <w:b/>
                <w:sz w:val="19"/>
              </w:rPr>
              <w:t>ID</w:t>
            </w:r>
          </w:p>
        </w:tc>
        <w:tc>
          <w:tcPr>
            <w:tcW w:type="dxa" w:w="2340"/>
          </w:tcPr>
          <w:p>
            <w:r>
              <w:rPr>
                <w:b/>
                <w:sz w:val="19"/>
              </w:rPr>
              <w:t>Requirement</w:t>
            </w:r>
          </w:p>
        </w:tc>
        <w:tc>
          <w:tcPr>
            <w:tcW w:type="dxa" w:w="2340"/>
          </w:tcPr>
          <w:p>
            <w:r>
              <w:rPr>
                <w:b/>
                <w:sz w:val="19"/>
              </w:rPr>
              <w:t>MoSCoW</w:t>
            </w:r>
          </w:p>
        </w:tc>
        <w:tc>
          <w:tcPr>
            <w:tcW w:type="dxa" w:w="2340"/>
          </w:tcPr>
          <w:p>
            <w:r>
              <w:rPr>
                <w:b/>
                <w:sz w:val="19"/>
              </w:rPr>
              <w:t>Release</w:t>
            </w:r>
          </w:p>
        </w:tc>
      </w:tr>
      <w:tr>
        <w:tc>
          <w:tcPr>
            <w:tcW w:type="dxa" w:w="2340"/>
          </w:tcPr>
          <w:p>
            <w:r>
              <w:rPr>
                <w:b w:val="0"/>
                <w:sz w:val="19"/>
              </w:rPr>
              <w:t>FR8.1</w:t>
            </w:r>
          </w:p>
        </w:tc>
        <w:tc>
          <w:tcPr>
            <w:tcW w:type="dxa" w:w="2340"/>
          </w:tcPr>
          <w:p>
            <w:r>
              <w:rPr>
                <w:b w:val="0"/>
                <w:sz w:val="19"/>
              </w:rPr>
              <w:t>Provide a persistent assistant panel, present on every page, that cannot be minimised or dismissed.</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FR8.2</w:t>
            </w:r>
          </w:p>
        </w:tc>
        <w:tc>
          <w:tcPr>
            <w:tcW w:type="dxa" w:w="2340"/>
          </w:tcPr>
          <w:p>
            <w:r>
              <w:rPr>
                <w:b w:val="0"/>
                <w:sz w:val="19"/>
              </w:rPr>
              <w:t>Offer a set of suggested prompts that update to match the page/module currently in view.</w:t>
            </w:r>
          </w:p>
        </w:tc>
        <w:tc>
          <w:tcPr>
            <w:tcW w:type="dxa" w:w="2340"/>
          </w:tcPr>
          <w:p>
            <w:r>
              <w:rPr>
                <w:b w:val="0"/>
                <w:sz w:val="19"/>
              </w:rPr>
              <w:t>Must</w:t>
            </w:r>
          </w:p>
        </w:tc>
        <w:tc>
          <w:tcPr>
            <w:tcW w:type="dxa" w:w="2340"/>
          </w:tcPr>
          <w:p>
            <w:r>
              <w:rPr>
                <w:b w:val="0"/>
                <w:sz w:val="19"/>
              </w:rPr>
              <w:t>MVP</w:t>
            </w:r>
          </w:p>
        </w:tc>
      </w:tr>
      <w:tr>
        <w:tc>
          <w:tcPr>
            <w:tcW w:type="dxa" w:w="2340"/>
          </w:tcPr>
          <w:p>
            <w:r>
              <w:rPr>
                <w:b w:val="0"/>
                <w:sz w:val="19"/>
              </w:rPr>
              <w:t>FR8.3</w:t>
            </w:r>
          </w:p>
        </w:tc>
        <w:tc>
          <w:tcPr>
            <w:tcW w:type="dxa" w:w="2340"/>
          </w:tcPr>
          <w:p>
            <w:r>
              <w:rPr>
                <w:b w:val="0"/>
                <w:sz w:val="19"/>
              </w:rPr>
              <w:t>Answer natural-language questions about coverage, sites, renewals, risk scores, and contractual requirements using live Salus data.</w:t>
            </w:r>
          </w:p>
        </w:tc>
        <w:tc>
          <w:tcPr>
            <w:tcW w:type="dxa" w:w="2340"/>
          </w:tcPr>
          <w:p>
            <w:r>
              <w:rPr>
                <w:b w:val="0"/>
                <w:sz w:val="19"/>
              </w:rPr>
              <w:t>Must</w:t>
            </w:r>
          </w:p>
        </w:tc>
        <w:tc>
          <w:tcPr>
            <w:tcW w:type="dxa" w:w="2340"/>
          </w:tcPr>
          <w:p>
            <w:r>
              <w:t>MVP</w:t>
            </w:r>
          </w:p>
        </w:tc>
      </w:tr>
      <w:tr>
        <w:tc>
          <w:tcPr>
            <w:tcW w:type="dxa" w:w="2340"/>
          </w:tcPr>
          <w:p>
            <w:r>
              <w:rPr>
                <w:b w:val="0"/>
                <w:sz w:val="19"/>
              </w:rPr>
              <w:t>FR8.4</w:t>
            </w:r>
          </w:p>
        </w:tc>
        <w:tc>
          <w:tcPr>
            <w:tcW w:type="dxa" w:w="2340"/>
          </w:tcPr>
          <w:p>
            <w:r>
              <w:rPr>
                <w:b w:val="0"/>
                <w:sz w:val="19"/>
              </w:rPr>
              <w:t>Trace every answer back to the underlying KPI, policy, or requirement record used to generate it.</w:t>
            </w:r>
          </w:p>
        </w:tc>
        <w:tc>
          <w:tcPr>
            <w:tcW w:type="dxa" w:w="2340"/>
          </w:tcPr>
          <w:p>
            <w:r>
              <w:rPr>
                <w:b w:val="0"/>
                <w:sz w:val="19"/>
              </w:rPr>
              <w:t>Must</w:t>
            </w:r>
          </w:p>
        </w:tc>
        <w:tc>
          <w:tcPr>
            <w:tcW w:type="dxa" w:w="2340"/>
          </w:tcPr>
          <w:p>
            <w:r>
              <w:t>MVP</w:t>
            </w:r>
          </w:p>
        </w:tc>
      </w:tr>
      <w:tr>
        <w:tc>
          <w:tcPr>
            <w:tcW w:type="dxa" w:w="2340"/>
          </w:tcPr>
          <w:p>
            <w:r>
              <w:rPr>
                <w:b w:val="0"/>
                <w:sz w:val="19"/>
              </w:rPr>
              <w:t>FR8.5</w:t>
            </w:r>
          </w:p>
        </w:tc>
        <w:tc>
          <w:tcPr>
            <w:tcW w:type="dxa" w:w="2340"/>
          </w:tcPr>
          <w:p>
            <w:r>
              <w:rPr>
                <w:b w:val="0"/>
                <w:sz w:val="19"/>
              </w:rPr>
              <w:t>Support free-text questions in addition to suggested prompts, with a clear fallback when no answer is available.</w:t>
            </w:r>
          </w:p>
        </w:tc>
        <w:tc>
          <w:tcPr>
            <w:tcW w:type="dxa" w:w="2340"/>
          </w:tcPr>
          <w:p>
            <w:r>
              <w:rPr>
                <w:b w:val="0"/>
                <w:sz w:val="19"/>
              </w:rPr>
              <w:t>Should</w:t>
            </w:r>
          </w:p>
        </w:tc>
        <w:tc>
          <w:tcPr>
            <w:tcW w:type="dxa" w:w="2340"/>
          </w:tcPr>
          <w:p>
            <w:r>
              <w:t>MVP</w:t>
            </w:r>
          </w:p>
        </w:tc>
      </w:tr>
    </w:tbl>
    <w:p>
      <w:pPr>
        <w:pStyle w:val="Heading1"/>
      </w:pPr>
      <w:r>
        <w:t xml:space="preserve">7. Insurance KPI / Ratio Specification</w:t>
      </w:r>
    </w:p>
    <w:p>
      <w:pPr>
        <w:spacing w:after="120" w:before="0" w:line="276"/>
      </w:pPr>
      <w:r>
        <w:t xml:space="preserve">The ratio engine (FR2) computes the metrics below. Thresholds are proposed defaults for the sponsor to confirm and are configurable per FR2.5. Every metric is computed on FX-normalised values with full lineage.</w:t>
      </w:r>
    </w:p>
    <w:p>
      <w:pPr>
        <w:pStyle w:val="Heading3"/>
      </w:pPr>
      <w:r>
        <w:t xml:space="preserve">7.1 Coverage adequacy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Insurance-to-Value (ITV)</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 Total Insurable Value (TIV)</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replacement/declared value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flag &lt;90% under / &gt;110% over</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Limit-to-PML</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Limit ÷ Probable Maximum Loss</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limit; PML/MFL valuation</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≥1.0; flag if limit &lt; PML</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Gap %</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(Required − Placed) ÷ Required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Required cover (TIV/PML/mandate); placed limit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0%; flag any positive gap</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BI Adequacy</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BI Sum Insured ÷ Annual Gross Profit (+ indemnity period vs restoration time)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BI sum insured; gross profit; indemnity period; est. restoration</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 and period ≥ restoration</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Peril Sublimit Adequacy</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Peril Sublimit ÷ Peril PML</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Sublimit; peril-specific PML</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≥1.0 per modelled peril</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Mandatory Cover Compliance %</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Compliant entities/sites ÷ total in scope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Statutory requirements per jurisdiction; placed cover</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100%</w:t>
            </w:r>
          </w:p>
        </w:tc>
      </w:tr>
    </w:tbl>
    <w:p>
      <w:pPr>
        <w:spacing w:after="120"/>
      </w:pPr>
      <w:r>
        <w:t xml:space="preserve"/>
      </w:r>
    </w:p>
    <w:p>
      <w:pPr>
        <w:pStyle w:val="Heading3"/>
      </w:pPr>
      <w:r>
        <w:t xml:space="preserve">7.2 Risk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Retention / Deductible Ratio</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Deductible (or SIR) ÷ Sum Insured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Deductible/SIR; sum insured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Within risk-appetite band [TBC]</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Retained Exposure</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Σ retained layers / SIRs across programme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 retentions/SIRs</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risk appetite [TBC]</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Limit Erosion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paid vs aggregate ÷ Aggregate limit</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Paid claims vs aggregate; aggregate limit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Alert at &gt;70% eroded</w:t>
            </w:r>
          </w:p>
        </w:tc>
      </w:tr>
    </w:tbl>
    <w:p>
      <w:pPr>
        <w:spacing w:after="120"/>
      </w:pPr>
      <w:r>
        <w:t xml:space="preserve"/>
      </w:r>
    </w:p>
    <w:p>
      <w:pPr>
        <w:pStyle w:val="Heading3"/>
      </w:pPr>
      <w:r>
        <w:t xml:space="preserve">7.3 Cost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Rate on Line (RoL)</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Limit</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limit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Benchmark vs prior year</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Rate</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Sum Insured (per mille)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sum insured</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Benchmark by line/region</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Premium-to-Revenue</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Premium ÷ Revenue</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entity/Group revenue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trend</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Cost of Risk (TCOR) %</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(Premiums + Retained losses + Risk-mgmt costs + Fees) ÷ Revenue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Premiums; retained losses; costs; fees; revenue</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Minimise; track trend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YoY Premium Change %</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Prior premium) ÷ Prior premium</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Current &amp; prior premium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Explain variances</w:t>
            </w:r>
          </w:p>
        </w:tc>
      </w:tr>
    </w:tbl>
    <w:p>
      <w:pPr>
        <w:spacing w:after="120"/>
      </w:pPr>
      <w:r>
        <w:t xml:space="preserve"/>
      </w:r>
    </w:p>
    <w:p>
      <w:pPr>
        <w:pStyle w:val="Heading3"/>
      </w:pPr>
      <w:r>
        <w:t xml:space="preserve">7.4 Claims / loss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Loss Ratio</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Incurred Claims ÷ Earned (or Paid) Premium</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Incurred claims; premium</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 alert &gt;100%</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Frequency</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Number of claims ÷ exposure unit</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 count; exposure (site/year/TIV)</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by line/site</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Severity</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claim cost ÷ Number of claims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Total claim cost; claim count</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by line/site</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Open vs Closed / Settlement time</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Counts and average days to settle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 status; open/close dates</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Track ageing</w:t>
            </w:r>
          </w:p>
        </w:tc>
      </w:tr>
    </w:tbl>
    <w:p>
      <w:pPr>
        <w:spacing w:after="120"/>
      </w:pPr>
      <w:r>
        <w:t xml:space="preserve"/>
      </w:r>
    </w:p>
    <w:p>
      <w:pPr>
        <w:pStyle w:val="Heading3"/>
      </w:pPr>
      <w:r>
        <w:t xml:space="preserve">7.5 Concentration &amp; counterparty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Concentration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of sum insured / premium per insurer</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 premium by carrier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Alert if single carrier &gt; [25%]</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Quality</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Exposure-weighted avg rating; % sub-investment-grade</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ratings; exposure share</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Flag sub-investment-grade exposure</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 Concentration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of premium per broker</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by broker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Geographic Concentration</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TIV/Sum insured per country; % in high-risk countries</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TIV by country; country-risk index</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 concentration</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Line-of-Business Concentration</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Exposure split by insurance line</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Sum insured by line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Monitor</w:t>
            </w:r>
          </w:p>
        </w:tc>
      </w:tr>
    </w:tbl>
    <w:p>
      <w:pPr>
        <w:spacing w:after="120"/>
      </w:pPr>
      <w:r>
        <w:t xml:space="preserve"/>
      </w:r>
    </w:p>
    <w:p>
      <w:pPr>
        <w:pStyle w:val="Heading3"/>
      </w:pPr>
      <w:r>
        <w:t xml:space="preserve">7.6 Programme continuity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rPr>
          <w:tblHeader/>
        </w:trPr>
        <w:tc>
          <w:tcPr>
            <w:tcW w:type="dxa" w:w="20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Ratio</w:t>
            </w:r>
          </w:p>
        </w:tc>
        <w:tc>
          <w:tcPr>
            <w:tcW w:type="dxa" w:w="27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Formula</w:t>
            </w:r>
          </w:p>
        </w:tc>
        <w:tc>
          <w:tcPr>
            <w:tcW w:type="dxa" w:w="25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inputs</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Target / threshold</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 Pipeline</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Policies &amp; sum insured expiring in 30/60/90 days</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Expiry dates; sum insured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 actioned ≥60 days pre-expiry</w:t>
            </w:r>
          </w:p>
        </w:tc>
      </w:tr>
      <w:tr>
        <w:tc>
          <w:tcPr>
            <w:tcW w:type="dxa" w:w="20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Continuity / Lapse Risk</w:t>
            </w:r>
          </w:p>
        </w:tc>
        <w:tc>
          <w:tcPr>
            <w:tcW w:type="dxa" w:w="275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Entities/sites with gaps in continuous cover</w:t>
            </w:r>
          </w:p>
        </w:tc>
        <w:tc>
          <w:tcPr>
            <w:tcW w:type="dxa" w:w="25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Period coverage by entity/site</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Zero lapses</w:t>
            </w:r>
          </w:p>
        </w:tc>
      </w:tr>
      <w:tr>
        <w:tc>
          <w:tcPr>
            <w:tcW w:type="dxa" w:w="20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Completeness &amp; Confidence</w:t>
            </w:r>
          </w:p>
        </w:tc>
        <w:tc>
          <w:tcPr>
            <w:tcW w:type="dxa" w:w="275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policies with all mandatory fields captured &amp; validated</w:t>
            </w:r>
          </w:p>
        </w:tc>
        <w:tc>
          <w:tcPr>
            <w:tcW w:type="dxa" w:w="2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Field completeness; validation status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≥90%</w:t>
            </w:r>
          </w:p>
        </w:tc>
      </w:tr>
    </w:tbl>
    <w:p>
      <w:pPr>
        <w:pStyle w:val="Heading3"/>
      </w:pPr>
      <w:r>
        <w:t>7.7 Contractual compliance</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c>
          <w:tcPr>
            <w:tcW w:type="dxa" w:w="2340"/>
          </w:tcPr>
          <w:p>
            <w:r>
              <w:rPr>
                <w:b/>
                <w:sz w:val="19"/>
              </w:rPr>
              <w:t>Ratio</w:t>
            </w:r>
          </w:p>
        </w:tc>
        <w:tc>
          <w:tcPr>
            <w:tcW w:type="dxa" w:w="2340"/>
          </w:tcPr>
          <w:p>
            <w:r>
              <w:rPr>
                <w:b/>
                <w:sz w:val="19"/>
              </w:rPr>
              <w:t>Formula</w:t>
            </w:r>
          </w:p>
        </w:tc>
        <w:tc>
          <w:tcPr>
            <w:tcW w:type="dxa" w:w="2340"/>
          </w:tcPr>
          <w:p>
            <w:r>
              <w:rPr>
                <w:b/>
                <w:sz w:val="19"/>
              </w:rPr>
              <w:t>Key inputs</w:t>
            </w:r>
          </w:p>
        </w:tc>
        <w:tc>
          <w:tcPr>
            <w:tcW w:type="dxa" w:w="2340"/>
          </w:tcPr>
          <w:p>
            <w:r>
              <w:rPr>
                <w:b/>
                <w:sz w:val="19"/>
              </w:rPr>
              <w:t>Target / threshold</w:t>
            </w:r>
          </w:p>
        </w:tc>
      </w:tr>
      <w:tr>
        <w:tc>
          <w:tcPr>
            <w:tcW w:type="dxa" w:w="2340"/>
          </w:tcPr>
          <w:p>
            <w:r>
              <w:rPr>
                <w:b w:val="0"/>
                <w:sz w:val="19"/>
              </w:rPr>
              <w:t>Contractual Requirement Coverage Ratio</w:t>
            </w:r>
          </w:p>
        </w:tc>
        <w:tc>
          <w:tcPr>
            <w:tcW w:type="dxa" w:w="2340"/>
          </w:tcPr>
          <w:p>
            <w:r>
              <w:rPr>
                <w:b w:val="0"/>
                <w:sz w:val="19"/>
              </w:rPr>
              <w:t>Placed Limit ÷ Contractually Required Limit (per requirement)</w:t>
            </w:r>
          </w:p>
        </w:tc>
        <w:tc>
          <w:tcPr>
            <w:tcW w:type="dxa" w:w="2340"/>
          </w:tcPr>
          <w:p>
            <w:r>
              <w:rPr>
                <w:b w:val="0"/>
                <w:sz w:val="19"/>
              </w:rPr>
              <w:t>Placed limit; required limit; counterparty type</w:t>
            </w:r>
          </w:p>
        </w:tc>
        <w:tc>
          <w:tcPr>
            <w:tcW w:type="dxa" w:w="2340"/>
          </w:tcPr>
          <w:p>
            <w:r>
              <w:rPr>
                <w:b w:val="0"/>
                <w:sz w:val="19"/>
              </w:rPr>
              <w:t>100%; flag &lt;100% as Gap, 90–100% as At-risk</w:t>
            </w:r>
          </w:p>
        </w:tc>
      </w:tr>
      <w:tr>
        <w:tc>
          <w:tcPr>
            <w:tcW w:type="dxa" w:w="2340"/>
          </w:tcPr>
          <w:p>
            <w:r>
              <w:rPr>
                <w:b w:val="0"/>
                <w:sz w:val="19"/>
              </w:rPr>
              <w:t>Open Contractual Gaps</w:t>
            </w:r>
          </w:p>
        </w:tc>
        <w:tc>
          <w:tcPr>
            <w:tcW w:type="dxa" w:w="2340"/>
          </w:tcPr>
          <w:p>
            <w:r>
              <w:rPr>
                <w:b w:val="0"/>
                <w:sz w:val="19"/>
              </w:rPr>
              <w:t>Count and S$ value of requirements below 100% of required limit</w:t>
            </w:r>
          </w:p>
        </w:tc>
        <w:tc>
          <w:tcPr>
            <w:tcW w:type="dxa" w:w="2340"/>
          </w:tcPr>
          <w:p>
            <w:r>
              <w:rPr>
                <w:b w:val="0"/>
                <w:sz w:val="19"/>
              </w:rPr>
              <w:t>Requirement register (Section 6.7)</w:t>
            </w:r>
          </w:p>
        </w:tc>
        <w:tc>
          <w:tcPr>
            <w:tcW w:type="dxa" w:w="2340"/>
          </w:tcPr>
          <w:p>
            <w:r>
              <w:rPr>
                <w:b w:val="0"/>
                <w:sz w:val="19"/>
              </w:rPr>
              <w:t>Zero open gaps</w:t>
            </w:r>
          </w:p>
        </w:tc>
      </w:tr>
    </w:tbl>
    <w:p>
      <w:pPr>
        <w:pStyle w:val="Heading3"/>
      </w:pPr>
      <w:r>
        <w:t>7.8 Exclusion &amp; conflict detection</w:t>
      </w:r>
    </w:p>
    <w:tbl>
      <w:tblP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50"/>
        <w:gridCol w:w="2560"/>
        <w:gridCol w:w="2000"/>
      </w:tblGrid>
      <w:tr>
        <w:tc>
          <w:tcPr>
            <w:tcW w:type="dxa" w:w="2340"/>
          </w:tcPr>
          <w:p>
            <w:r>
              <w:rPr>
                <w:b/>
                <w:sz w:val="19"/>
              </w:rPr>
              <w:t>Ratio</w:t>
            </w:r>
          </w:p>
        </w:tc>
        <w:tc>
          <w:tcPr>
            <w:tcW w:type="dxa" w:w="2340"/>
          </w:tcPr>
          <w:p>
            <w:r>
              <w:rPr>
                <w:b/>
                <w:sz w:val="19"/>
              </w:rPr>
              <w:t>Formula</w:t>
            </w:r>
          </w:p>
        </w:tc>
        <w:tc>
          <w:tcPr>
            <w:tcW w:type="dxa" w:w="2340"/>
          </w:tcPr>
          <w:p>
            <w:r>
              <w:rPr>
                <w:b/>
                <w:sz w:val="19"/>
              </w:rPr>
              <w:t>Key inputs</w:t>
            </w:r>
          </w:p>
        </w:tc>
        <w:tc>
          <w:tcPr>
            <w:tcW w:type="dxa" w:w="2340"/>
          </w:tcPr>
          <w:p>
            <w:r>
              <w:rPr>
                <w:b/>
                <w:sz w:val="19"/>
              </w:rPr>
              <w:t>Target / threshold</w:t>
            </w:r>
          </w:p>
        </w:tc>
      </w:tr>
      <w:tr>
        <w:tc>
          <w:tcPr>
            <w:tcW w:type="dxa" w:w="2340"/>
          </w:tcPr>
          <w:p>
            <w:r>
              <w:rPr>
                <w:b w:val="0"/>
                <w:sz w:val="19"/>
              </w:rPr>
              <w:t>Exclusion Conflict Count</w:t>
            </w:r>
          </w:p>
        </w:tc>
        <w:tc>
          <w:tcPr>
            <w:tcW w:type="dxa" w:w="2340"/>
          </w:tcPr>
          <w:p>
            <w:r>
              <w:rPr>
                <w:b w:val="0"/>
                <w:sz w:val="19"/>
              </w:rPr>
              <w:t>Count of exclusions flagged as conflicting with an open Contract Requirement</w:t>
            </w:r>
          </w:p>
        </w:tc>
        <w:tc>
          <w:tcPr>
            <w:tcW w:type="dxa" w:w="2340"/>
          </w:tcPr>
          <w:p>
            <w:r>
              <w:rPr>
                <w:b w:val="0"/>
                <w:sz w:val="19"/>
              </w:rPr>
              <w:t>Exclusion register (6.9); Contract Requirement register (6.7)</w:t>
            </w:r>
          </w:p>
        </w:tc>
        <w:tc>
          <w:tcPr>
            <w:tcW w:type="dxa" w:w="2340"/>
          </w:tcPr>
          <w:p>
            <w:r>
              <w:rPr>
                <w:b w:val="0"/>
                <w:sz w:val="19"/>
              </w:rPr>
              <w:t>Zero open conflicts</w:t>
            </w:r>
          </w:p>
        </w:tc>
      </w:tr>
      <w:tr>
        <w:tc>
          <w:tcPr>
            <w:tcW w:type="dxa" w:w="2340"/>
          </w:tcPr>
          <w:p>
            <w:r>
              <w:rPr>
                <w:b w:val="0"/>
                <w:sz w:val="19"/>
              </w:rPr>
              <w:t>Full-Exclusion Share</w:t>
            </w:r>
          </w:p>
        </w:tc>
        <w:tc>
          <w:tcPr>
            <w:tcW w:type="dxa" w:w="2340"/>
          </w:tcPr>
          <w:p>
            <w:r>
              <w:rPr>
                <w:b w:val="0"/>
                <w:sz w:val="19"/>
              </w:rPr>
              <w:t>Full exclusions ÷ total exclusions tracked</w:t>
            </w:r>
          </w:p>
        </w:tc>
        <w:tc>
          <w:tcPr>
            <w:tcW w:type="dxa" w:w="2340"/>
          </w:tcPr>
          <w:p>
            <w:r>
              <w:rPr>
                <w:b w:val="0"/>
                <w:sz w:val="19"/>
              </w:rPr>
              <w:t>Exclusion register</w:t>
            </w:r>
          </w:p>
        </w:tc>
        <w:tc>
          <w:tcPr>
            <w:tcW w:type="dxa" w:w="2340"/>
          </w:tcPr>
          <w:p>
            <w:r>
              <w:rPr>
                <w:b w:val="0"/>
                <w:sz w:val="19"/>
              </w:rPr>
              <w:t>Monitor; investigate concentration by peril</w:t>
            </w:r>
          </w:p>
        </w:tc>
      </w:tr>
    </w:tbl>
    <w:p>
      <w:pPr>
        <w:spacing w:after="120"/>
      </w:pPr>
      <w:r>
        <w:t xml:space="preserve"/>
      </w:r>
    </w:p>
    <w:p>
      <w:pPr>
        <w:pStyle w:val="Heading1"/>
      </w:pPr>
      <w:r>
        <w:t xml:space="preserve">8. Data Model &amp; Data Dictionary</w:t>
      </w:r>
    </w:p>
    <w:p>
      <w:pPr>
        <w:pStyle w:val="Heading2"/>
      </w:pPr>
      <w:r>
        <w:t xml:space="preserve">8.1 Core entities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Entity</w:t>
            </w:r>
          </w:p>
        </w:tc>
        <w:tc>
          <w:tcPr>
            <w:tcW w:type="dxa" w:w="3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Description</w:t>
            </w:r>
          </w:p>
        </w:tc>
        <w:tc>
          <w:tcPr>
            <w:tcW w:type="dxa" w:w="3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Key relationships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Business Unit / Entity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Keppel legal entity or BU in scope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Has many Sites, Policies, Claims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Site / Location</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Physical location or insured asset location</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Entity; has Assets; covered by Policies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Asset</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Insurable asset with declared value &amp; PML</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Site; insured under Coverage</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An insurance policy / programme placement</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Entity; has Coverages, Premiums, Documents, Claims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 Line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 line of cover within a policy (per Section 17)</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Policy; covers Sites/Assets/Liabilities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 Insurer</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carrier and its credit rating + line share</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Linked to Coverage (with share %)</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Intermediary that placed the cover</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Linked to Policy</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and associated taxes/fees</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Policy/Coverage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 recorded against a policy</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Policy</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Source document and its classification</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Linked to Policy; parent of ExtractionFields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ExtractionField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An extracted value + confidence + source location</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Belongs to Document; maps to a Policy field</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FX Rate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Dated currency rate used for normalisation</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Referenced by Premium / Sum-insured values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Score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Composite score per country/site/entity/BU</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Derived from Coverage, Claims, indices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Item / Source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External article or event with publisher, timestamp, and URL</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Source of one or more News Signals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 Emerging-Risk Signal</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Classified, scored risk signal derived from news, linked to assets</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Derived from News Items; linked to Asset/Site/Entity/Policy; feeds Risk Score</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Appetite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Thresholds by line/entity/peril for acceptable exposure &amp; minimum cover</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Referenced by the coverage-vs-appetite check</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User / Role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User identity, role, and entity scope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Governs access and validation actions</w:t>
            </w:r>
          </w:p>
        </w:tc>
      </w:tr>
      <w:tr>
        <w:tc>
          <w:tcPr>
            <w:tcW w:type="dxa" w:w="1900"/>
          </w:tcPr>
          <w:p>
            <w:r>
              <w:rPr>
                <w:b w:val="0"/>
                <w:sz w:val="19"/>
              </w:rPr>
              <w:t>Third-Party Requirement</w:t>
            </w:r>
          </w:p>
        </w:tc>
        <w:tc>
          <w:tcPr>
            <w:tcW w:type="dxa" w:w="3760"/>
          </w:tcPr>
          <w:p>
            <w:r>
              <w:rPr>
                <w:b w:val="0"/>
                <w:sz w:val="19"/>
              </w:rPr>
              <w:t>A contractual insurance obligation imposed by a customer/tenant, lender, JV partner, or government/concession authority, for a coverage line at an asset</w:t>
            </w:r>
          </w:p>
        </w:tc>
        <w:tc>
          <w:tcPr>
            <w:tcW w:type="dxa" w:w="3700"/>
          </w:tcPr>
          <w:p>
            <w:r>
              <w:rPr>
                <w:b w:val="0"/>
                <w:sz w:val="19"/>
              </w:rPr>
              <w:t>Belongs to Asset; compared against Coverage/Policy placed limits; sourced from a Counterparty / Agreement</w:t>
            </w:r>
          </w:p>
        </w:tc>
      </w:tr>
      <w:tr>
        <w:tc>
          <w:tcPr>
            <w:tcW w:type="dxa" w:w="1900"/>
          </w:tcPr>
          <w:p>
            <w:r>
              <w:rPr>
                <w:b w:val="0"/>
                <w:sz w:val="19"/>
              </w:rPr>
              <w:t>Counterparty / Agreement</w:t>
            </w:r>
          </w:p>
        </w:tc>
        <w:tc>
          <w:tcPr>
            <w:tcW w:type="dxa" w:w="3760"/>
          </w:tcPr>
          <w:p>
            <w:r>
              <w:rPr>
                <w:b w:val="0"/>
                <w:sz w:val="19"/>
              </w:rPr>
              <w:t>The external party and governing document/clause that imposes a requirement (facility agreement, lease, shareholders' agreement, concession licence)</w:t>
            </w:r>
          </w:p>
        </w:tc>
        <w:tc>
          <w:tcPr>
            <w:tcW w:type="dxa" w:w="3700"/>
          </w:tcPr>
          <w:p>
            <w:r>
              <w:rPr>
                <w:b w:val="0"/>
                <w:sz w:val="19"/>
              </w:rPr>
              <w:t>Linked to one or more Third-Party Requirements</w:t>
            </w:r>
          </w:p>
        </w:tc>
      </w:tr>
      <w:tr>
        <w:tc>
          <w:tcPr>
            <w:tcW w:type="dxa" w:w="1900"/>
          </w:tcPr>
          <w:p>
            <w:r>
              <w:rPr>
                <w:b w:val="0"/>
                <w:sz w:val="19"/>
              </w:rPr>
              <w:t>Policy Exclusion</w:t>
            </w:r>
          </w:p>
        </w:tc>
        <w:tc>
          <w:tcPr>
            <w:tcW w:type="dxa" w:w="3760"/>
          </w:tcPr>
          <w:p>
            <w:r>
              <w:rPr>
                <w:b w:val="0"/>
                <w:sz w:val="19"/>
              </w:rPr>
              <w:t>An exclusion or sub-limit on a Coverage, scoped as a full exclusion or a sub-limit, with a source policy-wording clause reference</w:t>
            </w:r>
          </w:p>
        </w:tc>
        <w:tc>
          <w:tcPr>
            <w:tcW w:type="dxa" w:w="3700"/>
          </w:tcPr>
          <w:p>
            <w:r>
              <w:rPr>
                <w:b w:val="0"/>
                <w:sz w:val="19"/>
              </w:rPr>
              <w:t>Belongs to Coverage/Policy and Asset; may conflict with a Third-Party Requirement (8.1)</w:t>
            </w:r>
          </w:p>
        </w:tc>
      </w:tr>
    </w:tbl>
    <w:p>
      <w:pPr>
        <w:spacing w:after="160"/>
      </w:pPr>
      <w:r>
        <w:t xml:space="preserve"/>
      </w:r>
    </w:p>
    <w:p>
      <w:pPr>
        <w:pStyle w:val="Heading2"/>
      </w:pPr>
      <w:r>
        <w:t xml:space="preserve">8.2 Policy data dictionary (fields to extract &amp; store)</w:t>
      </w:r>
    </w:p>
    <w:p>
      <w:pPr>
        <w:spacing w:after="120" w:before="0" w:line="276"/>
      </w:pPr>
      <w:r>
        <w:rPr>
          <w:i/>
          <w:iCs/>
          <w:sz w:val="18"/>
          <w:szCs w:val="18"/>
        </w:rPr>
        <w:t xml:space="preserve">M = Mandatory, O = Optional. Typical source documents shown for ingestion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500"/>
        <w:gridCol w:w="700"/>
        <w:gridCol w:w="1760"/>
      </w:tblGrid>
      <w:tr>
        <w:trPr>
          <w:tblHeader/>
        </w:trPr>
        <w:tc>
          <w:tcPr>
            <w:tcW w:type="dxa" w:w="5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Group / field</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Type</w:t>
            </w:r>
          </w:p>
        </w:tc>
        <w:tc>
          <w:tcPr>
            <w:tcW w:type="dxa" w:w="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M/O</w:t>
            </w:r>
          </w:p>
        </w:tc>
        <w:tc>
          <w:tcPr>
            <w:tcW w:type="dxa" w:w="1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Typical source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Identifiers — policy no., endorsement no., status, version, master/programme ref</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 / enum</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 slip</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Parties — insured entity, additional insureds, carrier(s) + line share %, lead/follow, carrier rating, broker, broker contact</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 / %</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Slip, schedule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Line of business / policy type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Enum (Sec 17)</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Slip, wording</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Period — inception, expiry, BI indemnity period</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Date / months</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 sum insured / limit (per-occurrence + aggregate), sublimits per peril, basis of valuation, currency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 / enum</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 wording</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Retention — deductible / excess / SIR (per peril)</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Schedule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 gross, net, taxes &amp; levies, payment terms, currency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Debit note, slip</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Exposure/asset — site, country, city, geocode, asset class/occupancy, declared value (TIV), PML/MFL</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 / money</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r/>
            <w:r>
              <w:t>Schedule, SOV; or manual questionnaire (Sec 9.1) if unavailable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scope — perils insured, key exclusions, territorial limits, governing law/jurisdiction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Wording</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Conditions — warranties, conditions precedent, key endorsements</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Text</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Wording, endorsement</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 claims under policy, paid amounts, outstanding reserves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Money</w:t>
            </w:r>
          </w:p>
        </w:tc>
        <w:tc>
          <w:tcPr>
            <w:tcW w:type="dxa" w:w="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w:t>
            </w:r>
          </w:p>
        </w:tc>
        <w:tc>
          <w:tcPr>
            <w:tcW w:type="dxa" w:w="1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bordereaux</w:t>
            </w:r>
          </w:p>
        </w:tc>
      </w:tr>
      <w:tr>
        <w:tc>
          <w:tcPr>
            <w:tcW w:type="dxa" w:w="54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Governance &amp; lineage — source doc type, extraction confidence, validated-by, validated-on</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Meta</w:t>
            </w:r>
          </w:p>
        </w:tc>
        <w:tc>
          <w:tcPr>
            <w:tcW w:type="dxa" w:w="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w:t>
            </w:r>
          </w:p>
        </w:tc>
        <w:tc>
          <w:tcPr>
            <w:tcW w:type="dxa" w:w="1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System</w:t>
            </w:r>
          </w:p>
        </w:tc>
      </w:tr>
    </w:tbl>
    <w:p>
      <w:pPr>
        <w:spacing w:after="120" w:before="0" w:line="276"/>
      </w:pPr>
      <w:r>
        <w:rPr>
          <w:i/>
          <w:iCs/>
          <w:sz w:val="18"/>
          <w:szCs w:val="18"/>
        </w:rPr>
        <w:t xml:space="preserve">(SOV = Statement of Values.)</w:t>
      </w:r>
    </w:p>
    <w:p>
      <w:pPr>
        <w:pStyle w:val="Heading2"/>
      </w:pPr>
      <w:r>
        <w:t xml:space="preserve">8.3 Data lifecycle, versioning &amp; retention</w:t>
      </w:r>
    </w:p>
    <w:p>
      <w:pPr>
        <w:spacing w:after="120" w:before="0" w:line="276"/>
      </w:pPr>
      <w:r>
        <w:t xml:space="preserve">Several requirements elsewhere in this document depend on Salus treating most of its data as append-only and versioned rather than mutable — this section makes that requirement explicit rather than leaving it implicit across Sections 2, 6.7, 6.9, 9, and 10. Salus's 'current' state is the latest slice of a history that must remain reconstructable at any prior point in time, for a period tied to policy renewal and records retention rather than to task completion.</w:t>
      </w:r>
    </w:p>
    <w:p>
      <w:pPr>
        <w:pStyle w:val="ListParagraph"/>
        <w:numPr>
          <w:ilvl w:val="0"/>
          <w:numId w:val="2"/>
        </w:numPr>
        <w:spacing w:after="60" w:line="268"/>
      </w:pPr>
      <w:r>
        <w:rPr>
          <w:b/>
          <w:bCs/>
        </w:rPr>
        <w:t xml:space="preserve">Versioned records: </w:t>
      </w:r>
      <w:r>
        <w:t xml:space="preserve">every posted field on a policy, coverage, premium, asset, or exclusion is versioned, not overwritten, on any change (FR3.7); prior values remain retrievable indefinitely for audit.</w:t>
      </w:r>
    </w:p>
    <w:p>
      <w:pPr>
        <w:pStyle w:val="ListParagraph"/>
        <w:numPr>
          <w:ilvl w:val="0"/>
          <w:numId w:val="2"/>
        </w:numPr>
        <w:spacing w:after="60" w:line="268"/>
      </w:pPr>
      <w:r>
        <w:rPr>
          <w:b/>
          <w:bCs/>
        </w:rPr>
        <w:t xml:space="preserve">Point-in-time snapshots: </w:t>
      </w:r>
      <w:r>
        <w:t xml:space="preserve">KPI and risk-score values are frozen at the configuration version in effect when they were computed (FR2.6; Section 10.3), so a later change to thresholds or weights never rewrites what a value was.</w:t>
      </w:r>
    </w:p>
    <w:p>
      <w:pPr>
        <w:pStyle w:val="ListParagraph"/>
        <w:numPr>
          <w:ilvl w:val="0"/>
          <w:numId w:val="2"/>
        </w:numPr>
        <w:spacing w:after="60" w:line="268"/>
      </w:pPr>
      <w:r>
        <w:rPr>
          <w:b/>
          <w:bCs/>
        </w:rPr>
        <w:t xml:space="preserve">Configuration versions: </w:t>
      </w:r>
      <w:r>
        <w:t xml:space="preserve">KPI thresholds, risk-score weights, and risk-appetite thresholds (Section 10.3) are themselves dated and versioned, and every snapshot computed under a given configuration references that specific version.</w:t>
      </w:r>
    </w:p>
    <w:p>
      <w:pPr>
        <w:pStyle w:val="ListParagraph"/>
        <w:numPr>
          <w:ilvl w:val="0"/>
          <w:numId w:val="2"/>
        </w:numPr>
        <w:spacing w:after="60" w:line="268"/>
      </w:pPr>
      <w:r>
        <w:rPr>
          <w:b/>
          <w:bCs/>
        </w:rPr>
        <w:t xml:space="preserve">Independent lifecycles: </w:t>
      </w:r>
      <w:r>
        <w:t xml:space="preserve">a claim (Section 7.4, 8.1) can remain open and continue to change status after the policy it was filed against has expired and been superseded by a new placement; its retention is not tied to that policy's own renewal cycle.</w:t>
      </w:r>
    </w:p>
    <w:p>
      <w:pPr>
        <w:pStyle w:val="ListParagraph"/>
        <w:numPr>
          <w:ilvl w:val="0"/>
          <w:numId w:val="2"/>
        </w:numPr>
        <w:spacing w:after="60" w:line="268"/>
      </w:pPr>
      <w:r>
        <w:rPr>
          <w:b/>
          <w:bCs/>
        </w:rPr>
        <w:t xml:space="preserve">Retention windows: </w:t>
      </w:r>
      <w:r>
        <w:t xml:space="preserve">retained state is governed by at least two distinct clocks — the renewal-cycle window (a policy's own inception–expiry period, which this PRD does not fix and which varies by line) and the Group records-retention policy (Section 13), which governs how long documents and versioned records must remain retrievable at all. Nothing is archived or purged before both have elapsed.</w:t>
      </w:r>
    </w:p>
    <w:p>
      <w:pPr>
        <w:spacing w:after="120" w:before="0" w:line="276"/>
      </w:pPr>
      <w:r>
        <w:rPr>
          <w:i/>
          <w:iCs/>
          <w:sz w:val="18"/>
          <w:szCs w:val="18"/>
        </w:rPr>
        <w:t xml:space="preserve">State categories and their retention basis, for the entities in Section 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State category</w:t>
            </w:r>
          </w:p>
        </w:tc>
        <w:tc>
          <w:tcPr>
            <w:tcW w:type="dxa" w:w="39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Examples</w:t>
            </w:r>
          </w:p>
        </w:tc>
        <w:tc>
          <w:tcPr>
            <w:tcW w:type="dxa" w:w="3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Governing requirement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Versioned field-level record</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Coverage, Premium, Asset declared value, Policy Exclusion</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FR3.7</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Point-in-time snapshot</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KPI values (Section 7), composite risk score (Section 10)</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FR2.6, Section 10.3</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Configuration version</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KPI thresholds, risk-score weights, risk-appetite thresholds</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10.3</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Independent-lifecycle record</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7.4, 8.1</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Append-only reference feed</w:t>
            </w:r>
          </w:p>
        </w:tc>
        <w:tc>
          <w:tcPr>
            <w:tcW w:type="dxa" w:w="3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FX Rate, News Item/Source, source Document</w:t>
            </w:r>
          </w:p>
        </w:tc>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8.1, FR6.10</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Audit log entry</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Every data change, validation action, export, and access event</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Section 13</w:t>
            </w:r>
          </w:p>
        </w:tc>
      </w:tr>
    </w:tbl>
    <w:p>
      <w:pPr>
        <w:spacing w:after="120" w:before="0" w:line="276"/>
      </w:pPr>
      <w:r>
        <w:t xml:space="preserve">This is a cross-cutting requirement on how Sections 2 (ratio engine), 6.7 and 6.9 (contract requirements and exclusions), 9 (ingestion), 10 (risk scoring), and 13 (non-functional requirements) are implemented, not a new capability of its own. The duration of the Group records-retention policy referenced above is not specified in this document; see Section 18.</w:t>
      </w:r>
    </w:p>
    <w:p>
      <w:pPr>
        <w:pStyle w:val="Heading1"/>
      </w:pPr>
      <w:r>
        <w:t xml:space="preserve">9. Document Ingestion Pipeline</w:t>
      </w:r>
    </w:p>
    <w:p>
      <w:pPr>
        <w:spacing w:after="120" w:before="0" w:line="276"/>
      </w:pPr>
      <w:r>
        <w:t xml:space="preserve">The ingestion pipeline turns broker/policy documents into validated, structured data. No value reaches the live database without passing the validation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Stage</w:t>
            </w:r>
          </w:p>
        </w:tc>
        <w:tc>
          <w:tcPr>
            <w:tcW w:type="dxa" w:w="68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What happens</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1. Intake</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User (or feed) uploads single/bulk documents. File is virus-scanned, stored immutably, and assigned an ingestion ID.</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2. Classification</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type detected (slip / wording / schedule / endorsement / debit note / renewal) to select the right extraction model.</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3. Extraction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OCR + NLP/IDP extract the Section 8 fields; each field gets a confidence score and a pointer to its source location.</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4. Validation (human-in-the-loop)</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Fields above the confidence threshold are pre-accepted; low-confidence or missing fields are queued for a reviewer to confirm or correct.</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5. Enrichment</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Normalise currency (dated FX), geocode sites, attach carrier credit rating and country-risk index, map to the entity/site master.</w:t>
            </w:r>
          </w:p>
        </w:tc>
      </w:tr>
      <w:tr>
        <w:tc>
          <w:tcPr>
            <w:tcW w:type="dxa" w:w="2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6. Posting</w:t>
            </w:r>
          </w:p>
        </w:tc>
        <w:tc>
          <w:tcPr>
            <w:tcW w:type="dxa" w:w="68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Validated record is written/ versioned in the database; prior values are retained with an audit entry (never silently overwritten).</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7. Recalculation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Affected KPIs and risk scores recompute; dashboards and exception lists refresh.</w:t>
            </w:r>
          </w:p>
        </w:tc>
      </w:tr>
    </w:tbl>
    <w:p>
      <w:pPr>
        <w:spacing w:after="140"/>
      </w:pPr>
      <w:r>
        <w:t xml:space="preserve"/>
      </w:r>
    </w:p>
    <w:p>
      <w:pPr>
        <w:pStyle w:val="Heading2"/>
      </w:pPr>
      <w:r>
        <w:t xml:space="preserve">9.1 Handling rules</w:t>
      </w:r>
    </w:p>
    <w:p>
      <w:pPr>
        <w:pStyle w:val="ListParagraph"/>
        <w:numPr>
          <w:ilvl w:val="0"/>
          <w:numId w:val="2"/>
        </w:numPr>
        <w:spacing w:after="60" w:line="268"/>
      </w:pPr>
      <w:r>
        <w:rPr>
          <w:b/>
          <w:bCs/>
        </w:rPr>
        <w:t xml:space="preserve">Supported formats: </w:t>
      </w:r>
      <w:r>
        <w:t xml:space="preserve">PDF (native and scanned), common image formats, Word, and Excel; bulk upload supported.</w:t>
      </w:r>
    </w:p>
    <w:p>
      <w:pPr>
        <w:pStyle w:val="ListParagraph"/>
        <w:numPr>
          <w:ilvl w:val="0"/>
          <w:numId w:val="2"/>
        </w:numPr>
        <w:spacing w:after="60" w:line="268"/>
      </w:pPr>
      <w:r>
        <w:rPr>
          <w:b/>
          <w:bCs/>
        </w:rPr>
        <w:t xml:space="preserve">Confidence handling: </w:t>
      </w:r>
      <w:r>
        <w:t xml:space="preserve">a configurable threshold determines auto-accept vs manual review; the threshold and per-field overrides are admin-settable.</w:t>
      </w:r>
    </w:p>
    <w:p>
      <w:pPr>
        <w:pStyle w:val="ListParagraph"/>
        <w:numPr>
          <w:ilvl w:val="0"/>
          <w:numId w:val="2"/>
        </w:numPr>
        <w:spacing w:after="60" w:line="268"/>
      </w:pPr>
      <w:r>
        <w:rPr>
          <w:b/>
          <w:bCs/>
        </w:rPr>
        <w:t xml:space="preserve">Exception queue: </w:t>
      </w:r>
      <w:r>
        <w:t xml:space="preserve">documents that fail classification or extraction, and all low-confidence fields, land in a worklist with reason codes and an assigned owner.</w:t>
      </w:r>
    </w:p>
    <w:p>
      <w:pPr>
        <w:pStyle w:val="ListParagraph"/>
        <w:numPr>
          <w:ilvl w:val="0"/>
          <w:numId w:val="2"/>
        </w:numPr>
        <w:spacing w:after="60" w:line="268"/>
      </w:pPr>
      <w:r>
        <w:rPr>
          <w:b/>
          <w:bCs/>
        </w:rPr>
        <w:t xml:space="preserve">Missing / low-confidence fields: </w:t>
      </w:r>
      <w:r>
        <w:t xml:space="preserve">stored as 'unconfirmed' and excluded from KPI calculations until validated, so ratios are never based on unverified data; the data-completeness KPI reflects this.</w:t>
      </w:r>
    </w:p>
    <w:p>
      <w:pPr>
        <w:pStyle w:val="ListParagraph"/>
        <w:numPr>
          <w:ilvl w:val="0"/>
          <w:numId w:val="2"/>
        </w:numPr>
        <w:spacing w:after="60" w:line="268"/>
      </w:pPr>
      <w:r>
        <w:rPr>
          <w:b/>
        </w:rPr>
        <w:t xml:space="preserve">No source document available: </w:t>
      </w:r>
      <w:r>
        <w:t>where no broker/policy document, JV asset register, or P&amp;C schedule exists for an asset, the assigned user completes an in-system insurance questionnaire covering the mandatory fields in Section 8.2; entries are tagged 'manual entry — no source document' and pass through the same validation gate, versioning, and audit trail as extracted fields.</w:t>
      </w:r>
    </w:p>
    <w:p>
      <w:pPr>
        <w:pStyle w:val="ListParagraph"/>
        <w:numPr>
          <w:ilvl w:val="0"/>
          <w:numId w:val="2"/>
        </w:numPr>
        <w:spacing w:after="60" w:line="268"/>
      </w:pPr>
      <w:r>
        <w:rPr>
          <w:b/>
          <w:bCs/>
        </w:rPr>
        <w:t xml:space="preserve">Reprocessing: </w:t>
      </w:r>
      <w:r>
        <w:t xml:space="preserve">a document can be re-run (e.g., after model improvements) producing a new version without losing history.</w:t>
      </w:r>
    </w:p>
    <w:p>
      <w:pPr>
        <w:pStyle w:val="ListParagraph"/>
        <w:numPr>
          <w:ilvl w:val="0"/>
          <w:numId w:val="2"/>
        </w:numPr>
        <w:spacing w:after="60" w:line="268"/>
      </w:pPr>
      <w:r>
        <w:rPr>
          <w:b/>
          <w:bCs/>
        </w:rPr>
        <w:t xml:space="preserve">Traceability: </w:t>
      </w:r>
      <w:r>
        <w:t xml:space="preserve">every posted field links back to the exact page/region of its source document.</w:t>
      </w:r>
    </w:p>
    <w:p>
      <w:pPr>
        <w:pStyle w:val="Heading2"/>
      </w:pPr>
      <w:r>
        <w:t xml:space="preserve">9.2 Data migration &amp; backfill</w:t>
      </w:r>
    </w:p>
    <w:p>
      <w:pPr>
        <w:spacing w:after="120" w:before="0" w:line="276"/>
      </w:pPr>
      <w:r>
        <w:t xml:space="preserve">Existing (back-book) policies must be loaded into Salus before an entity can rely on it as the single source of truth. Migration follows the same validation gate as new documents — there is no shortcut that bypasses human-in-the-loop review (Section 9) for historical records.</w:t>
      </w:r>
    </w:p>
    <w:p>
      <w:pPr>
        <w:pStyle w:val="ListParagraph"/>
        <w:numPr>
          <w:ilvl w:val="0"/>
          <w:numId w:val="2"/>
        </w:numPr>
        <w:spacing w:after="60" w:line="268"/>
      </w:pPr>
      <w:r>
        <w:rPr>
          <w:b/>
          <w:bCs/>
        </w:rPr>
        <w:t xml:space="preserve">Back-book scope: </w:t>
      </w:r>
      <w:r>
        <w:t xml:space="preserve">confirm, per entity, which existing/expiring policies must be loaded before go-live (e.g., all currently in-force policies, or in-force plus a prior period for trend and claims-history purposes).</w:t>
      </w:r>
    </w:p>
    <w:p>
      <w:pPr>
        <w:pStyle w:val="ListParagraph"/>
        <w:numPr>
          <w:ilvl w:val="0"/>
          <w:numId w:val="2"/>
        </w:numPr>
        <w:spacing w:after="60" w:line="268"/>
      </w:pPr>
      <w:r>
        <w:rPr>
          <w:b/>
          <w:bCs/>
        </w:rPr>
        <w:t xml:space="preserve">Load approach: </w:t>
      </w:r>
      <w:r>
        <w:t xml:space="preserve">historical documents enter through the standard ingestion pipeline (Section 9) — extraction, confidence scoring, and human validation apply equally to migrated records.</w:t>
      </w:r>
    </w:p>
    <w:p>
      <w:pPr>
        <w:pStyle w:val="ListParagraph"/>
        <w:numPr>
          <w:ilvl w:val="0"/>
          <w:numId w:val="2"/>
        </w:numPr>
        <w:spacing w:after="60" w:line="268"/>
      </w:pPr>
      <w:r>
        <w:rPr>
          <w:b/>
          <w:bCs/>
        </w:rPr>
        <w:t xml:space="preserve">Sequencing: </w:t>
      </w:r>
      <w:r>
        <w:t xml:space="preserve">migrate by entity/BU in priority order (aligned to the pilot entity in Open Questions item 10) rather than a single Group-wide cutover.</w:t>
      </w:r>
    </w:p>
    <w:p>
      <w:pPr>
        <w:pStyle w:val="ListParagraph"/>
        <w:numPr>
          <w:ilvl w:val="0"/>
          <w:numId w:val="2"/>
        </w:numPr>
        <w:spacing w:after="60" w:line="268"/>
      </w:pPr>
      <w:r>
        <w:rPr>
          <w:b/>
          <w:bCs/>
        </w:rPr>
        <w:t xml:space="preserve">Data quality floor: </w:t>
      </w:r>
      <w:r>
        <w:t xml:space="preserve">a migrated record must meet the same completeness threshold as the Data Completeness &amp; Confidence KPI (Section 7.6) to be treated as 'live'; records below the floor remain in the exception queue rather than being silently included in KPIs.</w:t>
      </w:r>
    </w:p>
    <w:p>
      <w:pPr>
        <w:pStyle w:val="ListParagraph"/>
        <w:numPr>
          <w:ilvl w:val="0"/>
          <w:numId w:val="2"/>
        </w:numPr>
        <w:spacing w:after="60" w:line="268"/>
      </w:pPr>
      <w:r>
        <w:rPr>
          <w:b/>
          <w:bCs/>
        </w:rPr>
        <w:t xml:space="preserve">Parallel run: </w:t>
      </w:r>
      <w:r>
        <w:t xml:space="preserve">run Salus alongside existing local trackers for at least one renewal cycle per entity before legacy tracking is retired, to catch migration gaps.</w:t>
      </w:r>
    </w:p>
    <w:p>
      <w:pPr>
        <w:pStyle w:val="Heading1"/>
      </w:pPr>
      <w:r>
        <w:t xml:space="preserve">10. Risk Scoring &amp; Hotspot Methodology</w:t>
      </w:r>
    </w:p>
    <w:p>
      <w:pPr>
        <w:spacing w:after="120" w:before="0" w:line="276"/>
      </w:pPr>
      <w:r>
        <w:t xml:space="preserve">Each country, site, entity, and business unit receives a composite risk score from 0 (low) to 100 (high). The score is a transparent weighted blend of the drivers below. Default weights are proposed; all weights are configurable (FR4.5) and every score is explainable (FR4.4).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760"/>
        <w:gridCol w:w="1500"/>
      </w:tblGrid>
      <w:tr>
        <w:trPr>
          <w:tblHeader/>
        </w:trPr>
        <w:tc>
          <w:tcPr>
            <w:tcW w:type="dxa" w:w="3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Driver</w:t>
            </w:r>
          </w:p>
        </w:tc>
        <w:tc>
          <w:tcPr>
            <w:tcW w:type="dxa" w:w="4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What it measures</w:t>
            </w:r>
          </w:p>
        </w:tc>
        <w:tc>
          <w:tcPr>
            <w:tcW w:type="dxa" w:w="15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Default weight</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gap severity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Size of coverage shortfall vs requirement, by line (from §7.1)</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28%</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Uninsured / under-insured TIV</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Value at risk not covered</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18%</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Natural-catastrophe exposure</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Flood / quake / windstorm index for the location</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14%</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Political / sanctions / country risk</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Country-risk rating and sanctions exposure</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10%</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Adverse claims history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frequency × severity</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9%</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quality &amp; concentration</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Sub-investment-grade and single-carrier reliance</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8%</w:t>
            </w:r>
          </w:p>
        </w:tc>
      </w:tr>
      <w:tr>
        <w:tc>
          <w:tcPr>
            <w:tcW w:type="dxa" w:w="3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Emerging risk signal (news-driven)</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Sector/geography news signals affecting the asset (Section 6.6)</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8%</w:t>
            </w:r>
          </w:p>
        </w:tc>
      </w:tr>
      <w:tr>
        <w:tc>
          <w:tcPr>
            <w:tcW w:type="dxa" w:w="3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Mandatory-cover non-compliance</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Missing statutory/board-mandated covers</w:t>
            </w:r>
          </w:p>
        </w:tc>
        <w:tc>
          <w:tcPr>
            <w:tcW w:type="dxa" w:w="15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jc w:val="center"/>
            </w:pPr>
            <w:r>
              <w:rPr>
                <w:b w:val="false"/>
                <w:bCs w:val="false"/>
                <w:color w:val="000000"/>
                <w:sz w:val="19"/>
                <w:szCs w:val="19"/>
              </w:rPr>
              <w:t xml:space="preserve">5%</w:t>
            </w:r>
          </w:p>
        </w:tc>
      </w:tr>
    </w:tbl>
    <w:p>
      <w:pPr>
        <w:spacing w:after="140"/>
      </w:pPr>
      <w:r>
        <w:t xml:space="preserve"/>
      </w:r>
    </w:p>
    <w:p>
      <w:pPr>
        <w:spacing w:after="120" w:before="0" w:line="276"/>
      </w:pPr>
      <w:r>
        <w:rPr>
          <w:i/>
          <w:iCs/>
          <w:sz w:val="18"/>
          <w:szCs w:val="18"/>
        </w:rPr>
        <w:t xml:space="preserve">The emerging-risk-signal weight links the news &amp; sector intelligence capability (Section 6.6) into the score; it is configurable and may be set to zero for entities or lines with sparse news coverage.</w:t>
      </w:r>
    </w:p>
    <w:p>
      <w:pPr>
        <w:pStyle w:val="Heading2"/>
      </w:pPr>
      <w:r>
        <w:t xml:space="preserve">10.1 Scoring approach</w:t>
      </w:r>
    </w:p>
    <w:p>
      <w:pPr>
        <w:pStyle w:val="ListParagraph"/>
        <w:numPr>
          <w:ilvl w:val="0"/>
          <w:numId w:val="3"/>
        </w:numPr>
        <w:spacing w:after="60" w:line="268"/>
      </w:pPr>
      <w:r>
        <w:t xml:space="preserve">Normalise each driver to a 0–100 sub-score using defined bands (e.g., coverage gap % mapped to a curve).</w:t>
      </w:r>
    </w:p>
    <w:p>
      <w:pPr>
        <w:pStyle w:val="ListParagraph"/>
        <w:numPr>
          <w:ilvl w:val="0"/>
          <w:numId w:val="3"/>
        </w:numPr>
        <w:spacing w:after="60" w:line="268"/>
      </w:pPr>
      <w:r>
        <w:t xml:space="preserve">Weighted-sum the sub-scores to a composite 0–100 score.</w:t>
      </w:r>
    </w:p>
    <w:p>
      <w:pPr>
        <w:pStyle w:val="ListParagraph"/>
        <w:numPr>
          <w:ilvl w:val="0"/>
          <w:numId w:val="3"/>
        </w:numPr>
        <w:spacing w:after="60" w:line="268"/>
      </w:pPr>
      <w:r>
        <w:t xml:space="preserve">Assign a band: Low (0–39), Medium (40–69), High (70–84), Critical (85–100) — thresholds configurable.</w:t>
      </w:r>
    </w:p>
    <w:p>
      <w:pPr>
        <w:pStyle w:val="ListParagraph"/>
        <w:numPr>
          <w:ilvl w:val="0"/>
          <w:numId w:val="3"/>
        </w:numPr>
        <w:spacing w:after="60" w:line="268"/>
      </w:pPr>
      <w:r>
        <w:t xml:space="preserve">Recompute whenever underlying data or weights change.</w:t>
      </w:r>
    </w:p>
    <w:p>
      <w:pPr>
        <w:pStyle w:val="Heading2"/>
      </w:pPr>
      <w:r>
        <w:t xml:space="preserve">10.2 Outputs</w:t>
      </w:r>
    </w:p>
    <w:p>
      <w:pPr>
        <w:pStyle w:val="ListParagraph"/>
        <w:numPr>
          <w:ilvl w:val="0"/>
          <w:numId w:val="2"/>
        </w:numPr>
        <w:spacing w:after="60" w:line="268"/>
      </w:pPr>
      <w:r>
        <w:rPr>
          <w:b w:val="false"/>
          <w:bCs w:val="false"/>
        </w:rPr>
        <w:t xml:space="preserve">A ranked 'Top exposures' table (highest score first), filterable by insurance line and dimension.</w:t>
      </w:r>
    </w:p>
    <w:p>
      <w:pPr>
        <w:pStyle w:val="ListParagraph"/>
        <w:numPr>
          <w:ilvl w:val="0"/>
          <w:numId w:val="2"/>
        </w:numPr>
        <w:spacing w:after="60" w:line="268"/>
      </w:pPr>
      <w:r>
        <w:rPr>
          <w:b w:val="false"/>
          <w:bCs w:val="false"/>
        </w:rPr>
        <w:t xml:space="preserve">A geographic heat map shaded by composite score.</w:t>
      </w:r>
    </w:p>
    <w:p>
      <w:pPr>
        <w:pStyle w:val="ListParagraph"/>
        <w:numPr>
          <w:ilvl w:val="0"/>
          <w:numId w:val="2"/>
        </w:numPr>
        <w:spacing w:after="60" w:line="268"/>
      </w:pPr>
      <w:r>
        <w:rPr>
          <w:b w:val="false"/>
          <w:bCs w:val="false"/>
        </w:rPr>
        <w:t xml:space="preserve">A per-row driver breakdown explaining what pushed the score up and by how much.</w:t>
      </w:r>
    </w:p>
    <w:p>
      <w:pPr>
        <w:pStyle w:val="Heading2"/>
      </w:pPr>
      <w:r>
        <w:t xml:space="preserve">10.3 Configuration change control</w:t>
      </w:r>
    </w:p>
    <w:p>
      <w:pPr>
        <w:spacing w:after="120" w:before="0" w:line="276"/>
      </w:pPr>
      <w:r>
        <w:t xml:space="preserve">KPI thresholds (FR2.5), risk-score weights (FR4.5), and risk-appetite thresholds (Section 10, Risk Appetite entity) are all configurable post-launch. Because these settings directly affect what leadership, auditors, and the Board see as ‘high risk’ or ‘under-covered’, changes need an owner and a paper trail, not just a settings screen.</w:t>
      </w:r>
    </w:p>
    <w:p>
      <w:pPr>
        <w:pStyle w:val="ListParagraph"/>
        <w:numPr>
          <w:ilvl w:val="0"/>
          <w:numId w:val="2"/>
        </w:numPr>
        <w:spacing w:after="60" w:line="268"/>
      </w:pPr>
      <w:r>
        <w:rPr>
          <w:b/>
          <w:bCs/>
        </w:rPr>
        <w:t xml:space="preserve">Change process: </w:t>
      </w:r>
      <w:r>
        <w:t xml:space="preserve">proposed changes are logged with rationale, reviewed by [owner — TBC, see Open Questions], and approved before taking effect; the approval is captured in the audit trail (Section 13).</w:t>
      </w:r>
    </w:p>
    <w:p>
      <w:pPr>
        <w:pStyle w:val="ListParagraph"/>
        <w:numPr>
          <w:ilvl w:val="0"/>
          <w:numId w:val="2"/>
        </w:numPr>
        <w:spacing w:after="60" w:line="268"/>
      </w:pPr>
      <w:r>
        <w:rPr>
          <w:b/>
          <w:bCs/>
        </w:rPr>
        <w:t xml:space="preserve">Versioning: </w:t>
      </w:r>
      <w:r>
        <w:t xml:space="preserve">each change creates a new dated version of the configuration; historical KPI and risk-score values retain the weights/thresholds in effect when they were calculated (consistent with the point-in-time snapshots in FR2.6), so a later reweighting does not silently rewrite history.</w:t>
      </w:r>
    </w:p>
    <w:p>
      <w:pPr>
        <w:pStyle w:val="ListParagraph"/>
        <w:numPr>
          <w:ilvl w:val="0"/>
          <w:numId w:val="2"/>
        </w:numPr>
        <w:spacing w:after="60" w:line="268"/>
      </w:pPr>
      <w:r>
        <w:rPr>
          <w:b/>
          <w:bCs/>
        </w:rPr>
        <w:t xml:space="preserve">Review cadence: </w:t>
      </w:r>
      <w:r>
        <w:t xml:space="preserve">weights and thresholds are reviewed at least annually, or earlier if triggered by a material change in the risk environment (e.g., a new peril category or regulatory requirement).</w:t>
      </w:r>
    </w:p>
    <w:p>
      <w:pPr>
        <w:pStyle w:val="Heading1"/>
      </w:pPr>
      <w:r>
        <w:t xml:space="preserve">11. Dashboard &amp; Visualisation Specification</w:t>
      </w:r>
    </w:p>
    <w:p>
      <w:pPr>
        <w:spacing w:after="120" w:before="0" w:line="276"/>
      </w:pPr>
      <w:r>
        <w:t xml:space="preserve">All views share the global filter bar (FR5) and respect the user's access scope. Every figure is click-through to its underlying policies and source documents.</w:t>
      </w:r>
      <w:r>
        <w:t xml:space="preserve"> All views also share a persistent right-hand rail containing the Action Items panel (FR1.5) and the Salus Assistant (Section 6.8); both adapt their content and prompts to the view currently in focus, except on Group Overview and Global Map where the Action Items panel shows the full Group-wide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60"/>
        <w:gridCol w:w="270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View</w:t>
            </w:r>
          </w:p>
        </w:tc>
        <w:tc>
          <w:tcPr>
            <w:tcW w:type="dxa" w:w="4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Purpose &amp; key visuals</w:t>
            </w:r>
          </w:p>
        </w:tc>
        <w:tc>
          <w:tcPr>
            <w:tcW w:type="dxa" w:w="2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Primary drill / filter</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Overview</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Headline KPI tiles, exposure map, coverage-adequacy gauge, alerts summary</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Drill to BU/Entity; all filters</w:t>
            </w:r>
          </w:p>
        </w:tc>
      </w:tr>
      <w:tr>
        <w:tc>
          <w:tcPr>
            <w:tcW w:type="dxa" w:w="1900"/>
          </w:tcPr>
          <w:p>
            <w:r>
              <w:rPr>
                <w:b w:val="0"/>
                <w:sz w:val="19"/>
              </w:rPr>
              <w:t>Global Map</w:t>
            </w:r>
          </w:p>
        </w:tc>
        <w:tc>
          <w:tcPr>
            <w:tcW w:type="dxa" w:w="4760"/>
          </w:tcPr>
          <w:p>
            <w:r>
              <w:rPr>
                <w:b w:val="0"/>
                <w:sz w:val="19"/>
              </w:rPr>
              <w:t>Interactive world map with asset markers sized by TIV and coloured by risk band, a compact risk-band legend, and an interactive filterable list of all in-scope assets showing key details at a glance</w:t>
            </w:r>
          </w:p>
        </w:tc>
        <w:tc>
          <w:tcPr>
            <w:tcW w:type="dxa" w:w="2700"/>
          </w:tcPr>
          <w:p>
            <w:r>
              <w:rPr>
                <w:b w:val="0"/>
                <w:sz w:val="19"/>
              </w:rPr>
              <w:t>By risk band; click a marker or list row for site detail</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Adequacy</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ITV / Limit-to-PML / gap by entity, site, and line; under-insured ranking</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line, entity, site</w:t>
            </w:r>
          </w:p>
        </w:tc>
      </w:tr>
      <w:tr>
        <w:tc>
          <w:tcPr>
            <w:tcW w:type="dxa" w:w="1900"/>
          </w:tcPr>
          <w:p>
            <w:r>
              <w:rPr>
                <w:b w:val="0"/>
                <w:sz w:val="19"/>
              </w:rPr>
              <w:t>Contract Requirements</w:t>
            </w:r>
          </w:p>
        </w:tc>
        <w:tc>
          <w:tcPr>
            <w:tcW w:type="dxa" w:w="4760"/>
          </w:tcPr>
          <w:p>
            <w:r>
              <w:rPr>
                <w:b w:val="0"/>
                <w:sz w:val="19"/>
              </w:rPr>
              <w:t>Third-party contractual insurance requirements (customer, lender, JV partner, government/concession) vs placed coverage, with Met/At-risk/Gap status and summary tiles (Section 6.7)</w:t>
            </w:r>
          </w:p>
        </w:tc>
        <w:tc>
          <w:tcPr>
            <w:tcW w:type="dxa" w:w="2700"/>
          </w:tcPr>
          <w:p>
            <w:r>
              <w:rPr>
                <w:b w:val="0"/>
                <w:sz w:val="19"/>
              </w:rPr>
              <w:t>By asset, counterparty type, coverage line, status</w:t>
            </w:r>
          </w:p>
        </w:tc>
      </w:tr>
      <w:tr>
        <w:tc>
          <w:tcPr>
            <w:tcW w:type="dxa" w:w="1900"/>
          </w:tcPr>
          <w:p>
            <w:r>
              <w:rPr>
                <w:b w:val="0"/>
                <w:sz w:val="19"/>
              </w:rPr>
              <w:t>Insurance Exclusions</w:t>
            </w:r>
          </w:p>
        </w:tc>
        <w:tc>
          <w:tcPr>
            <w:tcW w:type="dxa" w:w="4760"/>
          </w:tcPr>
          <w:p>
            <w:r>
              <w:rPr>
                <w:b w:val="0"/>
                <w:sz w:val="19"/>
              </w:rPr>
              <w:t>Policy exclusions and sub-limits by asset, cross-checked against Contract Requirements (Section 6.9) for conflicts</w:t>
            </w:r>
          </w:p>
        </w:tc>
        <w:tc>
          <w:tcPr>
            <w:tcW w:type="dxa" w:w="2700"/>
          </w:tcPr>
          <w:p>
            <w:r>
              <w:rPr>
                <w:b w:val="0"/>
                <w:sz w:val="19"/>
              </w:rPr>
              <w:t>By asset, coverage line, scope, conflict status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 Hotspots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Ranked exposures table + heat map + driver breakdown (Section 10)</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line; score band</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Renewals</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Pipeline of policies expiring in 30/60/90 days; lapse-risk list</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window, entity, line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&amp; Broker</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Concentration and carrier credit-quality charts</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carrier, broker</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Claims &amp; Loss</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Loss ratio, frequency, severity trends; open vs closed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line, site, period</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Cost of Risk</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Premium, premium-to-revenue, TCOR, YoY change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entity, line, period</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Explorer</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Searchable register of all policies with key terms</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All filters; free-text search</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Sector Risk Intelligence</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Curated sector/geo news feed, emerging-risk watchlist, and coverage-vs-appetite exceptions (Section 6.6)</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sector, geography, peril, asset</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Inbox</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Ingestion status and validation worklist (Section 9)</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By status, confidence, owner</w:t>
            </w:r>
          </w:p>
        </w:tc>
      </w:tr>
    </w:tbl>
    <w:p>
      <w:pPr>
        <w:pStyle w:val="Heading1"/>
      </w:pPr>
      <w:r>
        <w:t xml:space="preserve">12. Alerts, Notifications &amp; Reporting</w:t>
      </w:r>
    </w:p>
    <w:p>
      <w:pPr>
        <w:pStyle w:val="Heading2"/>
      </w:pPr>
      <w:r>
        <w:t xml:space="preserve">12.1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Alert</w:t>
            </w:r>
          </w:p>
        </w:tc>
        <w:tc>
          <w:tcPr>
            <w:tcW w:type="dxa" w:w="4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Trigger</w:t>
            </w:r>
          </w:p>
        </w:tc>
        <w:tc>
          <w:tcPr>
            <w:tcW w:type="dxa" w:w="2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Default recipients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Renewal due</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expiring in 90 / 60 / 30 days</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Entity Champion, Group Insurance</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Coverage gap</w:t>
            </w:r>
          </w:p>
        </w:tc>
        <w:tc>
          <w:tcPr>
            <w:tcW w:type="dxa" w:w="43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ITV &lt; threshold or positive coverage gap detected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 Group Insurance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Low-confidence extraction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fields fall below confidence threshold</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Assigned validator</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downgrade</w:t>
            </w:r>
          </w:p>
        </w:tc>
        <w:tc>
          <w:tcPr>
            <w:tcW w:type="dxa" w:w="43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rating falls below threshold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erosion</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Aggregate limit eroded beyond threshold</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Insurance, R&amp;C Manager</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 high-risk hotspot</w:t>
            </w:r>
          </w:p>
        </w:tc>
        <w:tc>
          <w:tcPr>
            <w:tcW w:type="dxa" w:w="43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Entity/site enters High/Critical band</w:t>
            </w:r>
          </w:p>
        </w:tc>
        <w:tc>
          <w:tcPr>
            <w:tcW w:type="dxa" w:w="2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Emerging risk / appetite breach</w:t>
            </w:r>
          </w:p>
        </w:tc>
        <w:tc>
          <w:tcPr>
            <w:tcW w:type="dxa" w:w="4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News-driven signal implies exposure beyond risk appetite or coverage</w:t>
            </w:r>
          </w:p>
        </w:tc>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R&amp;C Manager, Group Insurance</w:t>
            </w:r>
          </w:p>
        </w:tc>
      </w:tr>
      <w:tr>
        <w:tc>
          <w:tcPr>
            <w:tcW w:type="dxa" w:w="2300"/>
          </w:tcPr>
          <w:p>
            <w:r>
              <w:rPr>
                <w:b w:val="0"/>
                <w:sz w:val="19"/>
              </w:rPr>
              <w:t>Contractual requirement gap</w:t>
            </w:r>
          </w:p>
        </w:tc>
        <w:tc>
          <w:tcPr>
            <w:tcW w:type="dxa" w:w="4360"/>
          </w:tcPr>
          <w:p>
            <w:r>
              <w:rPr>
                <w:b w:val="0"/>
                <w:sz w:val="19"/>
              </w:rPr>
              <w:t>Placed limit falls below a third-party contractual requirement, or within its at-risk tolerance</w:t>
            </w:r>
          </w:p>
        </w:tc>
        <w:tc>
          <w:tcPr>
            <w:tcW w:type="dxa" w:w="2700"/>
          </w:tcPr>
          <w:p>
            <w:r>
              <w:rPr>
                <w:b w:val="0"/>
                <w:sz w:val="19"/>
              </w:rPr>
              <w:t>Group Insurance Lead, R&amp;C Manager, Entity Risk Champion</w:t>
            </w:r>
          </w:p>
        </w:tc>
      </w:tr>
      <w:tr>
        <w:tc>
          <w:tcPr>
            <w:tcW w:type="dxa" w:w="2300"/>
          </w:tcPr>
          <w:p>
            <w:r>
              <w:rPr>
                <w:b w:val="0"/>
                <w:sz w:val="19"/>
              </w:rPr>
              <w:t>Exclusion conflict</w:t>
            </w:r>
          </w:p>
        </w:tc>
        <w:tc>
          <w:tcPr>
            <w:tcW w:type="dxa" w:w="4360"/>
          </w:tcPr>
          <w:p>
            <w:r>
              <w:rPr>
                <w:b w:val="0"/>
                <w:sz w:val="19"/>
              </w:rPr>
              <w:t>A policy exclusion undermines an open Contract Requirement</w:t>
            </w:r>
          </w:p>
        </w:tc>
        <w:tc>
          <w:tcPr>
            <w:tcW w:type="dxa" w:w="2700"/>
          </w:tcPr>
          <w:p>
            <w:r>
              <w:rPr>
                <w:b w:val="0"/>
                <w:sz w:val="19"/>
              </w:rPr>
              <w:t>Group Insurance Lead, R&amp;C Manager, Entity Risk Champion</w:t>
            </w:r>
          </w:p>
        </w:tc>
      </w:tr>
    </w:tbl>
    <w:p>
      <w:pPr>
        <w:spacing w:after="120"/>
      </w:pPr>
      <w:r>
        <w:t xml:space="preserve"/>
      </w:r>
    </w:p>
    <w:p>
      <w:pPr>
        <w:pStyle w:val="Heading2"/>
      </w:pPr>
      <w:r>
        <w:t xml:space="preserve">12.2 Channels &amp; reporting</w:t>
      </w:r>
    </w:p>
    <w:p>
      <w:pPr>
        <w:pStyle w:val="ListParagraph"/>
        <w:numPr>
          <w:ilvl w:val="0"/>
          <w:numId w:val="2"/>
        </w:numPr>
        <w:spacing w:after="60" w:line="268"/>
      </w:pPr>
      <w:r>
        <w:rPr>
          <w:b w:val="false"/>
          <w:bCs w:val="false"/>
        </w:rPr>
        <w:t xml:space="preserve">Notification channels: in-app, email, and Microsoft Teams (configurable per alert and user).</w:t>
      </w:r>
    </w:p>
    <w:p>
      <w:pPr>
        <w:pStyle w:val="ListParagraph"/>
        <w:numPr>
          <w:ilvl w:val="0"/>
          <w:numId w:val="2"/>
        </w:numPr>
        <w:spacing w:after="60" w:line="268"/>
      </w:pPr>
      <w:r>
        <w:rPr>
          <w:b w:val="false"/>
          <w:bCs w:val="false"/>
        </w:rPr>
        <w:t xml:space="preserve">Scheduled reports: Board/leadership insurance pack, renewal forecast, coverage-gap register, and audit lineage report.</w:t>
      </w:r>
    </w:p>
    <w:p>
      <w:pPr>
        <w:pStyle w:val="ListParagraph"/>
        <w:numPr>
          <w:ilvl w:val="0"/>
          <w:numId w:val="2"/>
        </w:numPr>
        <w:spacing w:after="60" w:line="268"/>
      </w:pPr>
      <w:r>
        <w:rPr>
          <w:b w:val="false"/>
          <w:bCs w:val="false"/>
        </w:rPr>
        <w:t xml:space="preserve">Export formats: PDF and Excel; on-demand and scheduled distribution.</w:t>
      </w:r>
    </w:p>
    <w:p>
      <w:pPr>
        <w:pStyle w:val="Heading1"/>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Area</w:t>
            </w:r>
          </w:p>
        </w:tc>
        <w:tc>
          <w:tcPr>
            <w:tcW w:type="dxa" w:w="70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Requirement</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Security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Encryption in transit (TLS) and at rest; secrets managed in a vault; periodic penetration testing.</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Authentication &amp; SSO</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Single sign-on via corporate identity (e.g., Microsoft Entra ID / Azure AD) with MFA.</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Access control</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Role-based access (Section 4.2), entity/site-scoped; least-privilege by default.</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residency &amp; privacy</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Respect PDPA, GDPR, and local data-residency rules; regional hosting where required; data-minimisation.</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Personal data handling</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Policy documents (e.g., D&amp;O, GPA, workmen's compensation) contain personal data of named individuals; apply role-based redaction/masking for non-essential viewers and restrict export of underlying source documents to authorised roles only.</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Audit trail</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Immutable, time-stamped log of every data change, validation, export, and access event.</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Performance</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Dashboard interactions &lt; 3s on typical data volumes; document extraction within an agreed SLA.</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Scalability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Scale to the full Group's entities, sites, policies, and document throughput, including peak renewal periods.</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Availability</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Target 99.5% uptime; RPO ≤ [X hours] and RTO ≤ [X hours] (to be confirmed with IT &amp; Data Engineering); automated backups and a DR test performed at least [annually].</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Multi-currency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Store original currency; normalise to [SGD] using dated FX; FX source auditable.</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Multi-language</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OCR/NLP supports documents in the languages of in-scope jurisdictions.</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Accessibility &amp; usability</w:t>
            </w:r>
          </w:p>
        </w:tc>
        <w:tc>
          <w:tcPr>
            <w:tcW w:type="dxa" w:w="70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Meet corporate accessibility standards; responsive layout for desktop.</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retention</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Retain documents and records per the Group records-retention policy.</w:t>
            </w:r>
          </w:p>
        </w:tc>
      </w:tr>
      <w:tr>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State permanence / retention windows</w:t>
            </w:r>
          </w:p>
        </w:tc>
        <w:tc>
          <w:tcPr>
            <w:tcW w:type="dxa" w:w="70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Distinguish the renewal-cycle window (a policy's own inception–expiry period) from the Group records-retention policy (row above); versioned records and point-in-time KPI/risk-score snapshots (Section 8.3) are retained for at least the longer of the two. Audit trail entries are retained indefinitely under normal operation.</w:t>
            </w:r>
          </w:p>
        </w:tc>
      </w:tr>
    </w:tbl>
    <w:p>
      <w:pPr>
        <w:pStyle w:val="Heading1"/>
      </w:pPr>
      <w:r>
        <w:t xml:space="preserve">14.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System</w:t>
            </w:r>
          </w:p>
        </w:tc>
        <w:tc>
          <w:tcPr>
            <w:tcW w:type="dxa" w:w="4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Purpose</w:t>
            </w:r>
          </w:p>
        </w:tc>
        <w:tc>
          <w:tcPr>
            <w:tcW w:type="dxa" w:w="16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Direction</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Identity provider (Entra ID / Azure AD)</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SSO and role provisioning</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ERP / Finance</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Asset/declared values and revenue for ratio denominators; premium reconciliation</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HR / Entity master</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Authoritative list of legal entities, sites, and org hierarchy</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FX rate service</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Dated currency rates for normalisation</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Country-risk / nat-cat / sanctions data</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Indices feeding the risk score</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Carrier credit ratings (S&amp;P / AM Best)</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Counterparty quality metrics</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store (e.g., SharePoint)</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Source-document storage and retrieval</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Bi-directional</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Collaboration (Teams / email)</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Alerts and notifications</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Outbound</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&amp; market-intelligence feed</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Sector/geography/peril news for emerging-risk signals (Section 6.6)</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r>
        <w:tc>
          <w:tcPr>
            <w:tcW w:type="dxa" w:w="3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Risk-appetite framework</w:t>
            </w:r>
          </w:p>
        </w:tc>
        <w:tc>
          <w:tcPr>
            <w:tcW w:type="dxa" w:w="4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Thresholds for the coverage-vs-appetite check</w:t>
            </w:r>
          </w:p>
        </w:tc>
        <w:tc>
          <w:tcPr>
            <w:tcW w:type="dxa" w:w="16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 (internal)</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Broker / insurer feeds — V2</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Automated intake of bordereaux and renewal data</w:t>
            </w:r>
          </w:p>
        </w:tc>
        <w:tc>
          <w:tcPr>
            <w:tcW w:type="dxa" w:w="1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Inbound</w:t>
            </w:r>
          </w:p>
        </w:tc>
      </w:tr>
    </w:tbl>
    <w:p>
      <w:pPr>
        <w:spacing w:after="120" w:before="0" w:line="276"/>
      </w:pPr>
      <w:r>
        <w:rPr>
          <w:i/>
          <w:iCs/>
          <w:sz w:val="18"/>
          <w:szCs w:val="18"/>
        </w:rPr>
        <w:t xml:space="preserve">Integration approach, authentication, and data contracts to be confirmed with IT &amp; Data Engineering; see Open Questions.</w:t>
      </w:r>
    </w:p>
    <w:p>
      <w:pPr>
        <w:pStyle w:val="Heading1"/>
      </w:pPr>
      <w:r>
        <w:t xml:space="preserve">15. High-Level Technical Architecture &amp; Considerations</w:t>
      </w:r>
    </w:p>
    <w:p>
      <w:pPr>
        <w:spacing w:after="120" w:before="0" w:line="276"/>
      </w:pPr>
      <w:r>
        <w:t xml:space="preserve">A layered architecture is proposed. Specific products are illustrative and should be confirmed against Keppel's enterprise standards (the platform is assumed Microsoft-aligned).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tblHeader/>
        </w:trPr>
        <w:tc>
          <w:tcPr>
            <w:tcW w:type="dxa" w:w="19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Layer</w:t>
            </w:r>
          </w:p>
        </w:tc>
        <w:tc>
          <w:tcPr>
            <w:tcW w:type="dxa" w:w="37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Responsibility</w:t>
            </w:r>
          </w:p>
        </w:tc>
        <w:tc>
          <w:tcPr>
            <w:tcW w:type="dxa" w:w="37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Illustrative options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Ingestion / IDP</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Document intake, OCR, classification, field extraction</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Azure AI Document Intelligence; custom NLP models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store</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Structured policy/claims data + document/blob store</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Azure SQL / PostgreSQL + blob storage</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Calculation engine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KPI and risk-score computation with lineage</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Containerised microservice / serverless functions</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API layer</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Secure services for UI and integrations</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REST/GraphQL behind API gateway</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Presentation / BI</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Dashboards, maps, filtering, exports</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Power BI embedded, or custom React app</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Integration / ETL</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Feeds for FX, indices, ERP, entity master</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Managed data-integration / pipelines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 intelligence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Pull, classify, entity-link and summarise sector/geo news into risk signals</w:t>
            </w:r>
          </w:p>
        </w:tc>
        <w:tc>
          <w:tcPr>
            <w:tcW w:type="dxa" w:w="3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News/market-data API + NLP/LLM summarisation with human review</w:t>
            </w:r>
          </w:p>
        </w:tc>
      </w:tr>
      <w:tr>
        <w:tc>
          <w:tcPr>
            <w:tcW w:type="dxa" w:w="19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Security &amp; identity</w:t>
            </w:r>
          </w:p>
        </w:tc>
        <w:tc>
          <w:tcPr>
            <w:tcW w:type="dxa" w:w="37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SSO, RBAC, secrets, audit logging</w:t>
            </w:r>
          </w:p>
        </w:tc>
        <w:tc>
          <w:tcPr>
            <w:tcW w:type="dxa" w:w="37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Entra ID; key vault; centralised logging</w:t>
            </w:r>
          </w:p>
        </w:tc>
      </w:tr>
    </w:tbl>
    <w:p>
      <w:pPr>
        <w:spacing w:after="140"/>
      </w:pPr>
      <w:r>
        <w:t xml:space="preserve"/>
      </w:r>
    </w:p>
    <w:p>
      <w:pPr>
        <w:pStyle w:val="Heading2"/>
      </w:pPr>
      <w:r>
        <w:t xml:space="preserve">15.1 Key build-vs-buy trade-offs</w:t>
      </w:r>
    </w:p>
    <w:p>
      <w:pPr>
        <w:pStyle w:val="ListParagraph"/>
        <w:numPr>
          <w:ilvl w:val="0"/>
          <w:numId w:val="2"/>
        </w:numPr>
        <w:spacing w:after="60" w:line="268"/>
      </w:pPr>
      <w:r>
        <w:rPr>
          <w:b/>
          <w:bCs/>
        </w:rPr>
        <w:t xml:space="preserve">IDP accuracy vs effort: </w:t>
      </w:r>
      <w:r>
        <w:t xml:space="preserve">pre-trained document-intelligence services accelerate delivery but custom models may be needed for bespoke broker formats.</w:t>
      </w:r>
    </w:p>
    <w:p>
      <w:pPr>
        <w:pStyle w:val="ListParagraph"/>
        <w:numPr>
          <w:ilvl w:val="0"/>
          <w:numId w:val="2"/>
        </w:numPr>
        <w:spacing w:after="60" w:line="268"/>
      </w:pPr>
      <w:r>
        <w:rPr>
          <w:b/>
          <w:bCs/>
        </w:rPr>
        <w:t xml:space="preserve">Power BI vs custom front-end: </w:t>
      </w:r>
      <w:r>
        <w:t xml:space="preserve">Power BI is fast to stand up and integrates with the Microsoft estate; a custom app gives finer control over the filter/drill UX and the validation workflow.</w:t>
      </w:r>
    </w:p>
    <w:p>
      <w:pPr>
        <w:pStyle w:val="ListParagraph"/>
        <w:numPr>
          <w:ilvl w:val="0"/>
          <w:numId w:val="2"/>
        </w:numPr>
        <w:spacing w:after="60" w:line="268"/>
      </w:pPr>
      <w:r>
        <w:rPr>
          <w:b/>
          <w:bCs/>
        </w:rPr>
        <w:t xml:space="preserve">COTS insurance platform vs bespoke: </w:t>
      </w:r>
      <w:r>
        <w:t xml:space="preserve">evaluate whether a commercial risk-management information system (RMIS) meets requirements before committing to a full bespoke build.</w:t>
      </w:r>
    </w:p>
    <w:p>
      <w:pPr>
        <w:pStyle w:val="ListParagraph"/>
        <w:numPr>
          <w:ilvl w:val="0"/>
          <w:numId w:val="2"/>
        </w:numPr>
        <w:spacing w:after="60" w:line="268"/>
      </w:pPr>
      <w:r>
        <w:rPr>
          <w:b/>
          <w:bCs/>
        </w:rPr>
        <w:t xml:space="preserve">News intelligence accuracy vs noise: </w:t>
      </w:r>
      <w:r>
        <w:t xml:space="preserve">LLM-based entity-linking and summarisation accelerate signal generation but require human review, provenance, and attention to news-content licensing to avoid false positives.</w:t>
      </w:r>
    </w:p>
    <w:p>
      <w:pPr>
        <w:pStyle w:val="Heading2"/>
      </w:pPr>
      <w:r>
        <w:t xml:space="preserve">15.2 Testing &amp; UAT approach</w:t>
      </w:r>
    </w:p>
    <w:p>
      <w:pPr>
        <w:pStyle w:val="ListParagraph"/>
        <w:numPr>
          <w:ilvl w:val="0"/>
          <w:numId w:val="2"/>
        </w:numPr>
        <w:spacing w:after="60" w:line="268"/>
      </w:pPr>
      <w:r>
        <w:rPr>
          <w:b/>
          <w:bCs/>
        </w:rPr>
        <w:t xml:space="preserve">Test levels: </w:t>
      </w:r>
      <w:r>
        <w:t xml:space="preserve">unit and integration testing by the build vendor; system testing against the acceptance criteria in Section 6; UAT by named persona representatives (Section 4.1) before each release goes live.</w:t>
      </w:r>
    </w:p>
    <w:p>
      <w:pPr>
        <w:pStyle w:val="ListParagraph"/>
        <w:numPr>
          <w:ilvl w:val="0"/>
          <w:numId w:val="2"/>
        </w:numPr>
        <w:spacing w:after="60" w:line="268"/>
      </w:pPr>
      <w:r>
        <w:rPr>
          <w:b/>
          <w:bCs/>
        </w:rPr>
        <w:t xml:space="preserve">UAT focus areas: </w:t>
      </w:r>
      <w:r>
        <w:t xml:space="preserve">extraction accuracy against a held-out sample of real broker documents; KPI/ratio recalculation against an independent manual calculation (ties to the FR2 acceptance criteria); access-scope enforcement per role (Section 4.2); alert delivery and content.</w:t>
      </w:r>
    </w:p>
    <w:p>
      <w:pPr>
        <w:pStyle w:val="ListParagraph"/>
        <w:numPr>
          <w:ilvl w:val="0"/>
          <w:numId w:val="2"/>
        </w:numPr>
        <w:spacing w:after="60" w:line="268"/>
      </w:pPr>
      <w:r>
        <w:rPr>
          <w:b/>
          <w:bCs/>
        </w:rPr>
        <w:t xml:space="preserve">Non-functional testing: </w:t>
      </w:r>
      <w:r>
        <w:t xml:space="preserve">load/performance testing ahead of peak renewal periods; penetration testing before go-live and on a recurring cycle thereafter (Section 13).</w:t>
      </w:r>
    </w:p>
    <w:p>
      <w:pPr>
        <w:pStyle w:val="ListParagraph"/>
        <w:numPr>
          <w:ilvl w:val="0"/>
          <w:numId w:val="2"/>
        </w:numPr>
        <w:spacing w:after="60" w:line="268"/>
      </w:pPr>
      <w:r>
        <w:rPr>
          <w:b/>
          <w:bCs/>
        </w:rPr>
        <w:t xml:space="preserve">Sign-off: </w:t>
      </w:r>
      <w:r>
        <w:t xml:space="preserve">each release (MVP/V2/V3) requires documented UAT sign-off from R&amp;C, Group Insurance, and IT &amp; Data Engineering before production cutover.</w:t>
      </w:r>
    </w:p>
    <w:p>
      <w:pPr>
        <w:pStyle w:val="Heading1"/>
      </w:pPr>
      <w:r>
        <w:t xml:space="preserve">16.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5960"/>
      </w:tblGrid>
      <w:tr>
        <w:trPr>
          <w:tblHeader/>
        </w:trPr>
        <w:tc>
          <w:tcPr>
            <w:tcW w:type="dxa" w:w="1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Release</w:t>
            </w:r>
          </w:p>
        </w:tc>
        <w:tc>
          <w:tcPr>
            <w:tcW w:type="dxa" w:w="21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Theme</w:t>
            </w:r>
          </w:p>
        </w:tc>
        <w:tc>
          <w:tcPr>
            <w:tcW w:type="dxa" w:w="59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Scope highlights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MVP</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Consolidate &amp; see</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t>Data model; assisted ingestion + validation; core coverage/cost ratios; Group overview, coverage, policy-explorer dashboards; Contract Requirements and Insurance Exclusions registers with conflict detection; multi-select filters; baseline risk score &amp; heat map; in-app Salus Assistant with full conversational Q&amp;A over live data; RBAC; audit trail.</w:t>
            </w:r>
          </w:p>
        </w:tc>
      </w:tr>
      <w:tr>
        <w:tc>
          <w:tcPr>
            <w:tcW w:type="dxa" w:w="1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V2</w:t>
            </w:r>
          </w:p>
        </w:tc>
        <w:tc>
          <w:tcPr>
            <w:tcW w:type="dxa" w:w="21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Automate &amp; alert</w:t>
            </w:r>
          </w:p>
        </w:tc>
        <w:tc>
          <w:tcPr>
            <w:tcW w:type="dxa" w:w="596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Higher-automation IDP (bulk, multi-language); configurable thresholds &amp; risk weights; full alerting; renewals, carrier/broker, claims, cost-of-risk dashboards; news &amp; sector risk intelligence with coverage-vs-appetite checks; integrations (ERP, indices); remediation tracking.</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V3</w:t>
            </w:r>
          </w:p>
        </w:tc>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Predict &amp; extend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Predictive analytics; automated renewal workflow; broker self-service portal; cat-model / climate overlays; mobile companion.</w:t>
            </w:r>
          </w:p>
        </w:tc>
      </w:tr>
    </w:tbl>
    <w:p>
      <w:pPr>
        <w:spacing w:after="120"/>
      </w:pPr>
      <w:r>
        <w:t xml:space="preserve"/>
      </w:r>
    </w:p>
    <w:p>
      <w:pPr>
        <w:spacing w:after="120" w:before="0" w:line="276"/>
      </w:pPr>
      <w:r>
        <w:rPr>
          <w:i/>
          <w:iCs/>
          <w:sz w:val="18"/>
          <w:szCs w:val="18"/>
        </w:rPr>
        <w:t xml:space="preserve">MoSCoW priority is captured against each requirement in Section 6 and is the authoritative source for sequencing within each release.</w:t>
      </w:r>
    </w:p>
    <w:p>
      <w:pPr>
        <w:pStyle w:val="Heading2"/>
      </w:pPr>
      <w:r>
        <w:t xml:space="preserve">16.1 Adoption &amp; change management</w:t>
      </w:r>
    </w:p>
    <w:p>
      <w:pPr>
        <w:pStyle w:val="ListParagraph"/>
        <w:numPr>
          <w:ilvl w:val="0"/>
          <w:numId w:val="2"/>
        </w:numPr>
        <w:spacing w:after="60" w:line="268"/>
      </w:pPr>
      <w:r>
        <w:rPr>
          <w:b/>
          <w:bCs/>
        </w:rPr>
        <w:t xml:space="preserve">Champion network: </w:t>
      </w:r>
      <w:r>
        <w:t xml:space="preserve">nominate and train an Entity Risk Champion (Section 4.1) for every in-scope entity before that entity's data is migrated (Section 9.2).</w:t>
      </w:r>
    </w:p>
    <w:p>
      <w:pPr>
        <w:pStyle w:val="ListParagraph"/>
        <w:numPr>
          <w:ilvl w:val="0"/>
          <w:numId w:val="2"/>
        </w:numPr>
        <w:spacing w:after="60" w:line="268"/>
      </w:pPr>
      <w:r>
        <w:rPr>
          <w:b/>
          <w:bCs/>
        </w:rPr>
        <w:t xml:space="preserve">Role-based training: </w:t>
      </w:r>
      <w:r>
        <w:t xml:space="preserve">separate tracks for Entity Champions (upload &amp; validation), R&amp;C/Group Insurance (dashboards, hotspot review, configuration), and System Administrators (users, roles, reference data).</w:t>
      </w:r>
    </w:p>
    <w:p>
      <w:pPr>
        <w:pStyle w:val="ListParagraph"/>
        <w:numPr>
          <w:ilvl w:val="0"/>
          <w:numId w:val="2"/>
        </w:numPr>
        <w:spacing w:after="60" w:line="268"/>
      </w:pPr>
      <w:r>
        <w:rPr>
          <w:b/>
          <w:bCs/>
        </w:rPr>
        <w:t xml:space="preserve">Embed in business-as-usual: </w:t>
      </w:r>
      <w:r>
        <w:t xml:space="preserve">make Salus validation a required step in the renewal checklist so adoption is structural rather than optional — this directly addresses the ‘Low adoption across entities’ risk in Section 17.3.</w:t>
      </w:r>
    </w:p>
    <w:p>
      <w:pPr>
        <w:pStyle w:val="ListParagraph"/>
        <w:numPr>
          <w:ilvl w:val="0"/>
          <w:numId w:val="2"/>
        </w:numPr>
        <w:spacing w:after="60" w:line="268"/>
      </w:pPr>
      <w:r>
        <w:rPr>
          <w:b/>
          <w:bCs/>
        </w:rPr>
        <w:t xml:space="preserve">Adoption tracking: </w:t>
      </w:r>
      <w:r>
        <w:t xml:space="preserve">monitor the ‘Active users across in-scope entities’ metric (Section 3) monthly for the first two quarters post-launch, per entity, with follow-up from the champion network where adoption lags.</w:t>
      </w:r>
    </w:p>
    <w:p>
      <w:pPr>
        <w:pStyle w:val="Heading1"/>
      </w:pPr>
      <w:r>
        <w:t xml:space="preserve">17. Assumptions, Dependencies, Risks &amp; Insurance Lines</w:t>
      </w:r>
    </w:p>
    <w:p>
      <w:pPr>
        <w:pStyle w:val="Heading2"/>
      </w:pPr>
      <w:r>
        <w:t xml:space="preserve">17.1 Assumptions</w:t>
      </w:r>
    </w:p>
    <w:p>
      <w:pPr>
        <w:pStyle w:val="ListParagraph"/>
        <w:numPr>
          <w:ilvl w:val="0"/>
          <w:numId w:val="2"/>
        </w:numPr>
        <w:spacing w:after="60" w:line="268"/>
      </w:pPr>
      <w:r>
        <w:rPr>
          <w:b w:val="false"/>
          <w:bCs w:val="false"/>
        </w:rPr>
        <w:t xml:space="preserve">In scope are consolidated/controlled Keppel entities; JV/associate entities are deferred to V2.</w:t>
      </w:r>
    </w:p>
    <w:p>
      <w:pPr>
        <w:pStyle w:val="ListParagraph"/>
        <w:numPr>
          <w:ilvl w:val="0"/>
          <w:numId w:val="2"/>
        </w:numPr>
        <w:spacing w:after="60" w:line="268"/>
      </w:pPr>
      <w:r>
        <w:rPr>
          <w:b w:val="false"/>
          <w:bCs w:val="false"/>
        </w:rPr>
        <w:t xml:space="preserve">Reporting currency is [SGD]; authoritative FX rates are available via an approved source.</w:t>
      </w:r>
    </w:p>
    <w:p>
      <w:pPr>
        <w:pStyle w:val="ListParagraph"/>
        <w:numPr>
          <w:ilvl w:val="0"/>
          <w:numId w:val="2"/>
        </w:numPr>
        <w:spacing w:after="60" w:line="268"/>
      </w:pPr>
      <w:r>
        <w:rPr>
          <w:b w:val="false"/>
          <w:bCs w:val="false"/>
        </w:rPr>
        <w:t xml:space="preserve">Asset/declared values and revenue can be sourced from finance systems or provided by entities.</w:t>
      </w:r>
    </w:p>
    <w:p>
      <w:pPr>
        <w:pStyle w:val="ListParagraph"/>
        <w:numPr>
          <w:ilvl w:val="0"/>
          <w:numId w:val="2"/>
        </w:numPr>
        <w:spacing w:after="60" w:line="268"/>
      </w:pPr>
      <w:r>
        <w:rPr>
          <w:b w:val="false"/>
          <w:bCs w:val="false"/>
        </w:rPr>
        <w:t xml:space="preserve">Source documents are available electronically (or can be scanned) for ingestion.</w:t>
      </w:r>
    </w:p>
    <w:p>
      <w:pPr>
        <w:pStyle w:val="Heading2"/>
      </w:pPr>
      <w:r>
        <w:t xml:space="preserve">17.2 Dependencies</w:t>
      </w:r>
    </w:p>
    <w:p>
      <w:pPr>
        <w:pStyle w:val="ListParagraph"/>
        <w:numPr>
          <w:ilvl w:val="0"/>
          <w:numId w:val="2"/>
        </w:numPr>
        <w:spacing w:after="60" w:line="268"/>
      </w:pPr>
      <w:r>
        <w:rPr>
          <w:b w:val="false"/>
          <w:bCs w:val="false"/>
        </w:rPr>
        <w:t xml:space="preserve">Access to identity (SSO), ERP/finance, entity master, FX, and country-risk/nat-cat data feeds.</w:t>
      </w:r>
    </w:p>
    <w:p>
      <w:pPr>
        <w:pStyle w:val="ListParagraph"/>
        <w:numPr>
          <w:ilvl w:val="0"/>
          <w:numId w:val="2"/>
        </w:numPr>
        <w:spacing w:after="60" w:line="268"/>
      </w:pPr>
      <w:r>
        <w:rPr>
          <w:b w:val="false"/>
          <w:bCs w:val="false"/>
        </w:rPr>
        <w:t xml:space="preserve">Availability of entity risk champions to validate extractions during onboarding.</w:t>
      </w:r>
    </w:p>
    <w:p>
      <w:pPr>
        <w:pStyle w:val="ListParagraph"/>
        <w:numPr>
          <w:ilvl w:val="0"/>
          <w:numId w:val="2"/>
        </w:numPr>
        <w:spacing w:after="60" w:line="268"/>
      </w:pPr>
      <w:r>
        <w:rPr>
          <w:b w:val="false"/>
          <w:bCs w:val="false"/>
        </w:rPr>
        <w:t xml:space="preserve">Confirmed KPI definitions, thresholds, and risk-score weights from Group Insurance/R&amp;C.</w:t>
      </w:r>
    </w:p>
    <w:p>
      <w:pPr>
        <w:pStyle w:val="Heading2"/>
      </w:pPr>
      <w:r>
        <w:t xml:space="preserve">17.3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rPr>
          <w:tblHeader/>
        </w:trPr>
        <w:tc>
          <w:tcPr>
            <w:tcW w:type="dxa" w:w="42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Risk</w:t>
            </w:r>
          </w:p>
        </w:tc>
        <w:tc>
          <w:tcPr>
            <w:tcW w:type="dxa" w:w="50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Mitigation</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Poor source-data quality undermines ratios</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Data-completeness KPI; validation gate; exclude unconfirmed values from KPIs</w:t>
            </w:r>
          </w:p>
        </w:tc>
      </w:tr>
      <w:tr>
        <w:tc>
          <w:tcPr>
            <w:tcW w:type="dxa" w:w="42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Extraction accuracy on varied broker formats</w:t>
            </w:r>
          </w:p>
        </w:tc>
        <w:tc>
          <w:tcPr>
            <w:tcW w:type="dxa" w:w="50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Human-in-the-loop validation; per-format model tuning; reprocessing</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Inconsistent asset valuations / PML</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Standardise SOV capture; flag stale valuations</w:t>
            </w:r>
          </w:p>
        </w:tc>
      </w:tr>
      <w:tr>
        <w:tc>
          <w:tcPr>
            <w:tcW w:type="dxa" w:w="42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Low adoption across entities</w:t>
            </w:r>
          </w:p>
        </w:tc>
        <w:tc>
          <w:tcPr>
            <w:tcW w:type="dxa" w:w="508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Champion network; training; embed in renewal process</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Data residency / privacy constraints</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Regional hosting; data-minimisation; legal review</w:t>
            </w:r>
          </w:p>
        </w:tc>
      </w:tr>
      <w:tr>
        <w:tc>
          <w:tcPr>
            <w:tcW w:type="dxa" w:w="42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V2 news-intelligence scope carries high ‘Must’ complexity for a single release (8 of 10 FR6 requirements marked Must)</w:t>
            </w:r>
          </w:p>
        </w:tc>
        <w:tc>
          <w:tcPr>
            <w:tcW w:type="dxa" w:w="508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Treat ingestion, tagging, entity-linking, the curated feed, alerts, human review and provenance (FR6.1–FR6.3, FR6.7–FR6.10) as the V2 baseline; treat impact scoring, appetite comparison, and the weighted score input (FR6.4–FR6.6) as stretch within V2 or deferred to V2.1 if vendor capacity is constrained.</w:t>
            </w:r>
          </w:p>
        </w:tc>
      </w:tr>
    </w:tbl>
    <w:p>
      <w:pPr>
        <w:spacing w:after="160"/>
      </w:pPr>
      <w:r>
        <w:t xml:space="preserve"/>
      </w:r>
    </w:p>
    <w:p>
      <w:pPr>
        <w:pStyle w:val="Heading2"/>
      </w:pPr>
      <w:r>
        <w:t xml:space="preserve">17.4 Appendix H — Insurance lines in scope (for the multi-select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0"/>
        <w:gridCol w:w="2000"/>
        <w:gridCol w:w="2520"/>
        <w:gridCol w:w="2300"/>
      </w:tblGrid>
      <w:tr>
        <w:trPr>
          <w:tblHeader/>
        </w:trPr>
        <w:tc>
          <w:tcPr>
            <w:tcW w:type="dxa" w:w="25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Property &amp; engineering</w:t>
            </w:r>
          </w:p>
        </w:tc>
        <w:tc>
          <w:tcPr>
            <w:tcW w:type="dxa" w:w="20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Marine</w:t>
            </w:r>
          </w:p>
        </w:tc>
        <w:tc>
          <w:tcPr>
            <w:tcW w:type="dxa" w:w="252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Liability &amp; financial lines</w:t>
            </w:r>
          </w:p>
        </w:tc>
        <w:tc>
          <w:tcPr>
            <w:tcW w:type="dxa" w:w="230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vAlign w:val="center"/>
          </w:tcPr>
          <w:p>
            <w:pPr>
              <w:spacing w:after="20" w:line="248"/>
            </w:pPr>
            <w:r>
              <w:rPr>
                <w:b/>
                <w:bCs/>
                <w:color w:val="FFFFFF"/>
                <w:sz w:val="19"/>
                <w:szCs w:val="19"/>
              </w:rPr>
              <w:t xml:space="preserve">People &amp; specialty</w:t>
            </w:r>
          </w:p>
        </w:tc>
      </w:tr>
      <w:tr>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Property Damage &amp; Business Interruption (Industrial All Risks)</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Marine Cargo</w:t>
            </w:r>
          </w:p>
        </w:tc>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Public / General Liability</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Workmen's Compensation / Employer's Liability</w:t>
            </w:r>
          </w:p>
        </w:tc>
      </w:tr>
      <w:tr>
        <w:tc>
          <w:tcPr>
            <w:tcW w:type="dxa" w:w="254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Construction All Risks (CAR) / Erection All Risks (EAR)</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Marine Hull &amp; Machinery</w:t>
            </w:r>
          </w:p>
        </w:tc>
        <w:tc>
          <w:tcPr>
            <w:tcW w:type="dxa" w:w="25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Products Liability</w:t>
            </w:r>
          </w:p>
        </w:tc>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Group Personal Accident &amp; Business Travel</w:t>
            </w:r>
          </w:p>
        </w:tc>
      </w:tr>
      <w:tr>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Terrorism, Sabotage &amp; Political Violence</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Marine Liability (P&amp;I / charterers)</w:t>
            </w:r>
          </w:p>
        </w:tc>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Professional Indemnity</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Motor Fleet</w:t>
            </w:r>
          </w:p>
        </w:tc>
      </w:tr>
      <w:tr>
        <w:tc>
          <w:tcPr>
            <w:tcW w:type="dxa" w:w="254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Environmental / Pollution Liability</w:t>
            </w:r>
          </w:p>
        </w:tc>
        <w:tc>
          <w:tcPr>
            <w:tcW w:type="dxa" w:w="20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
            </w:r>
          </w:p>
        </w:tc>
        <w:tc>
          <w:tcPr>
            <w:tcW w:type="dxa" w:w="252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Directors &amp; Officers (D&amp;O)</w:t>
            </w:r>
          </w:p>
        </w:tc>
        <w:tc>
          <w:tcPr>
            <w:tcW w:type="dxa" w:w="2300"/>
            <w:tcBorders>
              <w:top w:val="single" w:color="BFBFBF" w:sz="1"/>
              <w:left w:val="single" w:color="BFBFBF" w:sz="1"/>
              <w:bottom w:val="single" w:color="BFBFBF" w:sz="1"/>
              <w:right w:val="single" w:color="BFBFBF" w:sz="1"/>
            </w:tcBorders>
            <w:shd w:fill="EFEFEF" w:val="clear"/>
            <w:tcMar>
              <w:top w:type="dxa" w:w="60"/>
              <w:left w:type="dxa" w:w="110"/>
              <w:bottom w:type="dxa" w:w="60"/>
              <w:right w:type="dxa" w:w="110"/>
            </w:tcMar>
            <w:vAlign w:val="center"/>
          </w:tcPr>
          <w:p>
            <w:pPr>
              <w:spacing w:after="20" w:line="248"/>
            </w:pPr>
            <w:r>
              <w:rPr>
                <w:b w:val="false"/>
                <w:bCs w:val="false"/>
                <w:color w:val="000000"/>
                <w:sz w:val="19"/>
                <w:szCs w:val="19"/>
              </w:rPr>
              <w:t xml:space="preserve">Cyber</w:t>
            </w:r>
          </w:p>
        </w:tc>
      </w:tr>
      <w:tr>
        <w:tc>
          <w:tcPr>
            <w:tcW w:type="dxa" w:w="254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
            </w:r>
          </w:p>
        </w:tc>
        <w:tc>
          <w:tcPr>
            <w:tcW w:type="dxa" w:w="252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Political Risk / Trade Credit</w:t>
            </w:r>
          </w:p>
        </w:tc>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20" w:line="248"/>
            </w:pPr>
            <w:r>
              <w:rPr>
                <w:b w:val="false"/>
                <w:bCs w:val="false"/>
                <w:color w:val="000000"/>
                <w:sz w:val="19"/>
                <w:szCs w:val="19"/>
              </w:rPr>
              <w:t xml:space="preserve">Aviation (if applicable)</w:t>
            </w:r>
          </w:p>
        </w:tc>
      </w:tr>
    </w:tbl>
    <w:p>
      <w:pPr>
        <w:spacing w:after="120" w:before="0" w:line="276"/>
      </w:pPr>
      <w:r>
        <w:rPr>
          <w:i/>
          <w:iCs/>
          <w:sz w:val="18"/>
          <w:szCs w:val="18"/>
        </w:rPr>
        <w:t xml:space="preserve">Add or remove lines to match Keppel's actual placed programme.</w:t>
      </w:r>
    </w:p>
    <w:p>
      <w:pPr>
        <w:pStyle w:val="Heading1"/>
      </w:pPr>
      <w:r>
        <w:t xml:space="preserve">18. Open Questions / Decisions Needed</w:t>
      </w:r>
    </w:p>
    <w:p>
      <w:pPr>
        <w:spacing w:after="120" w:before="0" w:line="276"/>
      </w:pPr>
      <w:r>
        <w:t xml:space="preserve">The following decisions are needed from the sponsor and stakeholders to baseline this PRD.</w:t>
      </w:r>
    </w:p>
    <w:p>
      <w:pPr>
        <w:pStyle w:val="ListParagraph"/>
        <w:numPr>
          <w:ilvl w:val="0"/>
          <w:numId w:val="4"/>
        </w:numPr>
        <w:spacing w:after="60" w:line="268"/>
      </w:pPr>
      <w:r>
        <w:t xml:space="preserve">Confirm in-scope entities and whether JV/associate entities are included in MVP or V2.</w:t>
      </w:r>
    </w:p>
    <w:p>
      <w:pPr>
        <w:pStyle w:val="ListParagraph"/>
        <w:numPr>
          <w:ilvl w:val="0"/>
          <w:numId w:val="4"/>
        </w:numPr>
        <w:spacing w:after="60" w:line="268"/>
      </w:pPr>
      <w:r>
        <w:t xml:space="preserve">Confirm reporting currency ([SGD]) and the authoritative FX source.</w:t>
      </w:r>
    </w:p>
    <w:p>
      <w:pPr>
        <w:pStyle w:val="ListParagraph"/>
        <w:numPr>
          <w:ilvl w:val="0"/>
          <w:numId w:val="4"/>
        </w:numPr>
        <w:spacing w:after="60" w:line="268"/>
      </w:pPr>
      <w:r>
        <w:t xml:space="preserve">Confirm the definitive list of insurance lines (Appendix H) for the Group programme.</w:t>
      </w:r>
    </w:p>
    <w:p>
      <w:pPr>
        <w:pStyle w:val="ListParagraph"/>
        <w:numPr>
          <w:ilvl w:val="0"/>
          <w:numId w:val="4"/>
        </w:numPr>
        <w:spacing w:after="60" w:line="268"/>
      </w:pPr>
      <w:r>
        <w:t xml:space="preserve">Confirm KPI thresholds/targets (Section 7) and risk-score weights (Section 10).</w:t>
      </w:r>
    </w:p>
    <w:p>
      <w:pPr>
        <w:pStyle w:val="ListParagraph"/>
        <w:numPr>
          <w:ilvl w:val="0"/>
          <w:numId w:val="4"/>
        </w:numPr>
        <w:spacing w:after="60" w:line="268"/>
      </w:pPr>
      <w:r>
        <w:t xml:space="preserve">Identify source systems for asset/declared values, PML, and revenue, and their owners.</w:t>
      </w:r>
    </w:p>
    <w:p>
      <w:pPr>
        <w:pStyle w:val="ListParagraph"/>
        <w:numPr>
          <w:ilvl w:val="0"/>
          <w:numId w:val="4"/>
        </w:numPr>
        <w:spacing w:after="60" w:line="268"/>
      </w:pPr>
      <w:r>
        <w:t xml:space="preserve">Confirm third-party data providers for nat-cat, country-risk, sanctions, and carrier ratings.</w:t>
      </w:r>
    </w:p>
    <w:p>
      <w:pPr>
        <w:pStyle w:val="ListParagraph"/>
        <w:numPr>
          <w:ilvl w:val="0"/>
          <w:numId w:val="4"/>
        </w:numPr>
        <w:spacing w:after="60" w:line="268"/>
      </w:pPr>
      <w:r>
        <w:t xml:space="preserve">Confirm build approach: bespoke build, RMIS product, or hybrid; and Power BI vs custom front-end.</w:t>
      </w:r>
    </w:p>
    <w:p>
      <w:pPr>
        <w:pStyle w:val="ListParagraph"/>
        <w:numPr>
          <w:ilvl w:val="0"/>
          <w:numId w:val="4"/>
        </w:numPr>
        <w:spacing w:after="60" w:line="268"/>
      </w:pPr>
      <w:r>
        <w:t xml:space="preserve">Confirm hosting model and any data-residency constraints by jurisdiction.</w:t>
      </w:r>
    </w:p>
    <w:p>
      <w:pPr>
        <w:pStyle w:val="ListParagraph"/>
        <w:numPr>
          <w:ilvl w:val="0"/>
          <w:numId w:val="4"/>
        </w:numPr>
        <w:spacing w:after="60" w:line="268"/>
      </w:pPr>
      <w:r>
        <w:t xml:space="preserve">Confirm whether claims data will be fed from an existing system or captured in Salus.</w:t>
      </w:r>
    </w:p>
    <w:p>
      <w:pPr>
        <w:pStyle w:val="ListParagraph"/>
        <w:numPr>
          <w:ilvl w:val="0"/>
          <w:numId w:val="4"/>
        </w:numPr>
        <w:spacing w:after="60" w:line="268"/>
      </w:pPr>
      <w:r>
        <w:t xml:space="preserve">Confirm target MVP date, budget envelope, and the entity to pilot first.</w:t>
      </w:r>
    </w:p>
    <w:p>
      <w:pPr>
        <w:pStyle w:val="ListParagraph"/>
        <w:numPr>
          <w:ilvl w:val="0"/>
          <w:numId w:val="4"/>
        </w:numPr>
        <w:spacing w:after="60" w:line="268"/>
      </w:pPr>
      <w:r>
        <w:t xml:space="preserve">Confirm the news / market-intelligence provider(s) and acceptable use/licensing for analysing news content.</w:t>
      </w:r>
    </w:p>
    <w:p>
      <w:pPr>
        <w:pStyle w:val="ListParagraph"/>
        <w:numPr>
          <w:ilvl w:val="0"/>
          <w:numId w:val="4"/>
        </w:numPr>
        <w:spacing w:after="60" w:line="268"/>
      </w:pPr>
      <w:r>
        <w:t xml:space="preserve">Confirm the risk-appetite framework (thresholds by line, entity, and peril) for the coverage-vs-appetite check, and its owner.</w:t>
      </w:r>
    </w:p>
    <w:p>
      <w:pPr>
        <w:pStyle w:val="ListParagraph"/>
        <w:numPr>
          <w:ilvl w:val="0"/>
          <w:numId w:val="4"/>
        </w:numPr>
        <w:spacing w:after="60" w:line="268"/>
      </w:pPr>
      <w:r>
        <w:t xml:space="preserve">Confirm the owner and approval process for changes to KPI thresholds and risk-score weights post go-live (Section 10.3).</w:t>
      </w:r>
    </w:p>
    <w:p>
      <w:pPr>
        <w:pStyle w:val="ListParagraph"/>
        <w:numPr>
          <w:ilvl w:val="0"/>
          <w:numId w:val="4"/>
        </w:numPr>
        <w:spacing w:after="60" w:line="268"/>
      </w:pPr>
      <w:r>
        <w:t xml:space="preserve">Confirm the duration of the Group records-retention policy referenced in Section 13, and whether it differs by document or record type (Section 8.3).</w:t>
      </w:r>
    </w:p>
    <w:p>
      <w:pPr>
        <w:spacing w:after="200"/>
      </w:pPr>
      <w:r>
        <w:t xml:space="preserve"/>
      </w:r>
    </w:p>
    <w:p>
      <w:pPr>
        <w:spacing w:after="120" w:before="0" w:line="276"/>
        <w:jc w:val="center"/>
      </w:pPr>
      <w:r>
        <w:rPr>
          <w:i/>
          <w:iCs/>
          <w:color w:val="80808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v0.2 — Draft</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808080"/>
        <w:sz w:val="16"/>
        <w:szCs w:val="16"/>
      </w:rPr>
      <w:t xml:space="preserve">Keppel Salus — Product Requirements Document</w:t>
    </w:r>
    <w:r>
      <w:rPr>
        <w:color w:val="8080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Q%1."/>
      <w:lvlJc w:val="left"/>
      <w:pPr>
        <w:ind w:left="6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55A11" w:sz="8" w:space="4"/>
      </w:pBdr>
      <w:spacing w:before="320" w:after="16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20" w:after="110"/>
      <w:outlineLvl w:val="1"/>
    </w:pPr>
    <w:rPr>
      <w:rFonts w:ascii="Calibri" w:cs="Calibri" w:eastAsia="Calibri" w:hAnsi="Calibri"/>
      <w:b/>
      <w:bCs/>
      <w:color w:val="2E5496"/>
      <w:sz w:val="25"/>
      <w:szCs w:val="25"/>
    </w:rPr>
  </w:style>
  <w:style w:type="paragraph" w:styleId="Heading3">
    <w:name w:val="Heading 3"/>
    <w:basedOn w:val="Normal"/>
    <w:next w:val="Normal"/>
    <w:qFormat/>
    <w:pPr>
      <w:spacing w:before="160" w:after="80"/>
      <w:outlineLvl w:val="2"/>
    </w:pPr>
    <w:rPr>
      <w:rFonts w:ascii="Calibri" w:cs="Calibri" w:eastAsia="Calibri" w:hAnsi="Calibri"/>
      <w:b/>
      <w:bCs/>
      <w:color w:val="000000"/>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30137ECF14B441866836FA649AF9DE" ma:contentTypeVersion="14" ma:contentTypeDescription="Create a new document." ma:contentTypeScope="" ma:versionID="e1808a295150c840d43a70797109b8b4">
  <xsd:schema xmlns:xsd="http://www.w3.org/2001/XMLSchema" xmlns:xs="http://www.w3.org/2001/XMLSchema" xmlns:p="http://schemas.microsoft.com/office/2006/metadata/properties" xmlns:ns2="fbf78993-8e7c-4c66-a3da-dc02b7311e19" xmlns:ns3="ad3d8042-09ac-4802-822e-d7f161f5cb42" targetNamespace="http://schemas.microsoft.com/office/2006/metadata/properties" ma:root="true" ma:fieldsID="d088d20204fd793701bbaa6664326940" ns2:_="" ns3:_="">
    <xsd:import namespace="fbf78993-8e7c-4c66-a3da-dc02b7311e19"/>
    <xsd:import namespace="ad3d8042-09ac-4802-822e-d7f161f5cb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78993-8e7c-4c66-a3da-dc02b7311e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b4ebc5f-3e50-4640-97a7-c4aa6849621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3d8042-09ac-4802-822e-d7f161f5cb4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3178f6-ce13-4c68-87e0-57411e747547}" ma:internalName="TaxCatchAll" ma:showField="CatchAllData" ma:web="ad3d8042-09ac-4802-822e-d7f161f5cb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f78993-8e7c-4c66-a3da-dc02b7311e19">
      <Terms xmlns="http://schemas.microsoft.com/office/infopath/2007/PartnerControls"/>
    </lcf76f155ced4ddcb4097134ff3c332f>
    <TaxCatchAll xmlns="ad3d8042-09ac-4802-822e-d7f161f5cb42" xsi:nil="true"/>
  </documentManagement>
</p:properties>
</file>

<file path=customXml/itemProps1.xml><?xml version="1.0" encoding="utf-8"?>
<ds:datastoreItem xmlns:ds="http://schemas.openxmlformats.org/officeDocument/2006/customXml" ds:itemID="{7870D52B-9EDE-45BF-AF2B-6799BF838153}"/>
</file>

<file path=customXml/itemProps2.xml><?xml version="1.0" encoding="utf-8"?>
<ds:datastoreItem xmlns:ds="http://schemas.openxmlformats.org/officeDocument/2006/customXml" ds:itemID="{BAAB20C9-B15D-418C-A58F-228345273367}"/>
</file>

<file path=customXml/itemProps3.xml><?xml version="1.0" encoding="utf-8"?>
<ds:datastoreItem xmlns:ds="http://schemas.openxmlformats.org/officeDocument/2006/customXml" ds:itemID="{F6133855-AC69-415C-9ECB-4E34FDB3FBC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2026-06-30T07:22:45Z</dcterms:created>
  <dcterms:modified xsi:type="dcterms:W3CDTF">2026-06-30T07:22:45Z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0x010100E730137ECF14B441866836FA649AF9DE</vt:lpwstr>
  </property>
</Properties>
</file>