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6D116" w14:textId="66C2C50F" w:rsidR="00542128" w:rsidRDefault="00000000" w:rsidP="003F2872">
      <w:pPr>
        <w:spacing w:line="240" w:lineRule="auto"/>
        <w:jc w:val="center"/>
        <w:rPr>
          <w:rFonts w:asciiTheme="majorHAnsi" w:hAnsiTheme="majorHAnsi" w:cstheme="majorHAnsi"/>
          <w:b/>
          <w:bCs/>
          <w:sz w:val="28"/>
          <w:szCs w:val="28"/>
          <w:lang w:val="es-CL"/>
        </w:rPr>
      </w:pPr>
      <w:r w:rsidRPr="00CC357C">
        <w:rPr>
          <w:rFonts w:asciiTheme="majorHAnsi" w:hAnsiTheme="majorHAnsi" w:cstheme="majorHAnsi"/>
          <w:b/>
          <w:bCs/>
          <w:sz w:val="28"/>
          <w:szCs w:val="28"/>
          <w:lang w:val="es-CL"/>
        </w:rPr>
        <w:t>Índice Compuesto de Productividad Industrial (ICPI)</w:t>
      </w:r>
      <w:r w:rsidR="00423F53" w:rsidRPr="00CC357C">
        <w:rPr>
          <w:rFonts w:asciiTheme="majorHAnsi" w:hAnsiTheme="majorHAnsi" w:cstheme="majorHAnsi"/>
          <w:b/>
          <w:bCs/>
          <w:sz w:val="28"/>
          <w:szCs w:val="28"/>
          <w:lang w:val="es-CL"/>
        </w:rPr>
        <w:t xml:space="preserve"> </w:t>
      </w:r>
      <w:r w:rsidR="00CC357C" w:rsidRPr="00CC357C">
        <w:rPr>
          <w:rFonts w:asciiTheme="majorHAnsi" w:hAnsiTheme="majorHAnsi" w:cstheme="majorHAnsi"/>
          <w:b/>
          <w:bCs/>
          <w:sz w:val="28"/>
          <w:szCs w:val="28"/>
          <w:lang w:val="es-CL"/>
        </w:rPr>
        <w:t>para América Latina y el Caribe</w:t>
      </w:r>
    </w:p>
    <w:p w14:paraId="49DC10DD" w14:textId="77777777" w:rsidR="006223A4" w:rsidRDefault="006223A4" w:rsidP="006223A4">
      <w:pPr>
        <w:spacing w:line="240" w:lineRule="auto"/>
        <w:jc w:val="both"/>
        <w:rPr>
          <w:rFonts w:asciiTheme="majorHAnsi" w:hAnsiTheme="majorHAnsi" w:cstheme="majorHAnsi"/>
          <w:b/>
          <w:bCs/>
          <w:sz w:val="28"/>
          <w:szCs w:val="28"/>
          <w:lang w:val="es-CL"/>
        </w:rPr>
      </w:pPr>
    </w:p>
    <w:sdt>
      <w:sdtPr>
        <w:rPr>
          <w:rFonts w:asciiTheme="minorHAnsi" w:eastAsiaTheme="minorEastAsia" w:hAnsiTheme="minorHAnsi" w:cstheme="minorBidi"/>
          <w:b w:val="0"/>
          <w:bCs w:val="0"/>
          <w:color w:val="auto"/>
          <w:sz w:val="22"/>
          <w:szCs w:val="22"/>
          <w:lang w:val="es-ES"/>
        </w:rPr>
        <w:id w:val="1644154939"/>
        <w:docPartObj>
          <w:docPartGallery w:val="Table of Contents"/>
          <w:docPartUnique/>
        </w:docPartObj>
      </w:sdtPr>
      <w:sdtContent>
        <w:p w14:paraId="4BEB56D3" w14:textId="7E305A5B" w:rsidR="006223A4" w:rsidRDefault="006223A4" w:rsidP="006223A4">
          <w:pPr>
            <w:pStyle w:val="TtuloTDC"/>
            <w:jc w:val="both"/>
          </w:pPr>
        </w:p>
        <w:p w14:paraId="64287D59" w14:textId="193EF233" w:rsidR="00BB3108" w:rsidRDefault="006223A4">
          <w:pPr>
            <w:pStyle w:val="TDC1"/>
            <w:tabs>
              <w:tab w:val="right" w:leader="dot" w:pos="8630"/>
            </w:tabs>
            <w:rPr>
              <w:noProof/>
              <w:kern w:val="2"/>
              <w:lang w:val="es-CL" w:eastAsia="es-CL"/>
              <w14:ligatures w14:val="standardContextual"/>
            </w:rPr>
          </w:pPr>
          <w:r>
            <w:rPr>
              <w:rFonts w:asciiTheme="majorHAnsi" w:hAnsiTheme="majorHAnsi" w:cstheme="majorHAnsi"/>
            </w:rPr>
            <w:fldChar w:fldCharType="begin"/>
          </w:r>
          <w:r w:rsidRPr="00583866">
            <w:rPr>
              <w:rFonts w:asciiTheme="majorHAnsi" w:hAnsiTheme="majorHAnsi" w:cstheme="majorHAnsi"/>
            </w:rPr>
            <w:instrText xml:space="preserve"> TOC \o "1-3" \h \z \u </w:instrText>
          </w:r>
          <w:r>
            <w:rPr>
              <w:rFonts w:asciiTheme="majorHAnsi" w:hAnsiTheme="majorHAnsi" w:cstheme="majorHAnsi"/>
            </w:rPr>
            <w:fldChar w:fldCharType="separate"/>
          </w:r>
          <w:hyperlink w:anchor="_Toc206753335" w:history="1">
            <w:r w:rsidR="00BB3108" w:rsidRPr="002F7ED6">
              <w:rPr>
                <w:rStyle w:val="Hipervnculo"/>
                <w:noProof/>
                <w:lang w:val="es-CL"/>
              </w:rPr>
              <w:t>Introducción</w:t>
            </w:r>
            <w:r w:rsidR="00BB3108">
              <w:rPr>
                <w:noProof/>
                <w:webHidden/>
              </w:rPr>
              <w:tab/>
            </w:r>
            <w:r w:rsidR="00BB3108">
              <w:rPr>
                <w:noProof/>
                <w:webHidden/>
              </w:rPr>
              <w:fldChar w:fldCharType="begin"/>
            </w:r>
            <w:r w:rsidR="00BB3108">
              <w:rPr>
                <w:noProof/>
                <w:webHidden/>
              </w:rPr>
              <w:instrText xml:space="preserve"> PAGEREF _Toc206753335 \h </w:instrText>
            </w:r>
            <w:r w:rsidR="00BB3108">
              <w:rPr>
                <w:noProof/>
                <w:webHidden/>
              </w:rPr>
            </w:r>
            <w:r w:rsidR="00BB3108">
              <w:rPr>
                <w:noProof/>
                <w:webHidden/>
              </w:rPr>
              <w:fldChar w:fldCharType="separate"/>
            </w:r>
            <w:r w:rsidR="00BB3108">
              <w:rPr>
                <w:noProof/>
                <w:webHidden/>
              </w:rPr>
              <w:t>1</w:t>
            </w:r>
            <w:r w:rsidR="00BB3108">
              <w:rPr>
                <w:noProof/>
                <w:webHidden/>
              </w:rPr>
              <w:fldChar w:fldCharType="end"/>
            </w:r>
          </w:hyperlink>
        </w:p>
        <w:p w14:paraId="005DBB7E" w14:textId="436A0A09" w:rsidR="00BB3108" w:rsidRDefault="00000000">
          <w:pPr>
            <w:pStyle w:val="TDC1"/>
            <w:tabs>
              <w:tab w:val="right" w:leader="dot" w:pos="8630"/>
            </w:tabs>
            <w:rPr>
              <w:noProof/>
              <w:kern w:val="2"/>
              <w:lang w:val="es-CL" w:eastAsia="es-CL"/>
              <w14:ligatures w14:val="standardContextual"/>
            </w:rPr>
          </w:pPr>
          <w:hyperlink w:anchor="_Toc206753336" w:history="1">
            <w:r w:rsidR="00BB3108" w:rsidRPr="002F7ED6">
              <w:rPr>
                <w:rStyle w:val="Hipervnculo"/>
                <w:noProof/>
                <w:lang w:val="es-CL"/>
              </w:rPr>
              <w:t>Revisión de la literatura</w:t>
            </w:r>
            <w:r w:rsidR="00BB3108">
              <w:rPr>
                <w:noProof/>
                <w:webHidden/>
              </w:rPr>
              <w:tab/>
            </w:r>
            <w:r w:rsidR="00BB3108">
              <w:rPr>
                <w:noProof/>
                <w:webHidden/>
              </w:rPr>
              <w:fldChar w:fldCharType="begin"/>
            </w:r>
            <w:r w:rsidR="00BB3108">
              <w:rPr>
                <w:noProof/>
                <w:webHidden/>
              </w:rPr>
              <w:instrText xml:space="preserve"> PAGEREF _Toc206753336 \h </w:instrText>
            </w:r>
            <w:r w:rsidR="00BB3108">
              <w:rPr>
                <w:noProof/>
                <w:webHidden/>
              </w:rPr>
            </w:r>
            <w:r w:rsidR="00BB3108">
              <w:rPr>
                <w:noProof/>
                <w:webHidden/>
              </w:rPr>
              <w:fldChar w:fldCharType="separate"/>
            </w:r>
            <w:r w:rsidR="00BB3108">
              <w:rPr>
                <w:noProof/>
                <w:webHidden/>
              </w:rPr>
              <w:t>1</w:t>
            </w:r>
            <w:r w:rsidR="00BB3108">
              <w:rPr>
                <w:noProof/>
                <w:webHidden/>
              </w:rPr>
              <w:fldChar w:fldCharType="end"/>
            </w:r>
          </w:hyperlink>
        </w:p>
        <w:p w14:paraId="26EE836D" w14:textId="10DC11B0" w:rsidR="00BB3108" w:rsidRDefault="00000000">
          <w:pPr>
            <w:pStyle w:val="TDC1"/>
            <w:tabs>
              <w:tab w:val="right" w:leader="dot" w:pos="8630"/>
            </w:tabs>
            <w:rPr>
              <w:noProof/>
              <w:kern w:val="2"/>
              <w:lang w:val="es-CL" w:eastAsia="es-CL"/>
              <w14:ligatures w14:val="standardContextual"/>
            </w:rPr>
          </w:pPr>
          <w:hyperlink w:anchor="_Toc206753337" w:history="1">
            <w:r w:rsidR="00BB3108" w:rsidRPr="002F7ED6">
              <w:rPr>
                <w:rStyle w:val="Hipervnculo"/>
                <w:noProof/>
                <w:lang w:val="es-CL"/>
              </w:rPr>
              <w:t>Datos y metodología</w:t>
            </w:r>
            <w:r w:rsidR="00BB3108">
              <w:rPr>
                <w:noProof/>
                <w:webHidden/>
              </w:rPr>
              <w:tab/>
            </w:r>
            <w:r w:rsidR="00BB3108">
              <w:rPr>
                <w:noProof/>
                <w:webHidden/>
              </w:rPr>
              <w:fldChar w:fldCharType="begin"/>
            </w:r>
            <w:r w:rsidR="00BB3108">
              <w:rPr>
                <w:noProof/>
                <w:webHidden/>
              </w:rPr>
              <w:instrText xml:space="preserve"> PAGEREF _Toc206753337 \h </w:instrText>
            </w:r>
            <w:r w:rsidR="00BB3108">
              <w:rPr>
                <w:noProof/>
                <w:webHidden/>
              </w:rPr>
            </w:r>
            <w:r w:rsidR="00BB3108">
              <w:rPr>
                <w:noProof/>
                <w:webHidden/>
              </w:rPr>
              <w:fldChar w:fldCharType="separate"/>
            </w:r>
            <w:r w:rsidR="00BB3108">
              <w:rPr>
                <w:noProof/>
                <w:webHidden/>
              </w:rPr>
              <w:t>1</w:t>
            </w:r>
            <w:r w:rsidR="00BB3108">
              <w:rPr>
                <w:noProof/>
                <w:webHidden/>
              </w:rPr>
              <w:fldChar w:fldCharType="end"/>
            </w:r>
          </w:hyperlink>
        </w:p>
        <w:p w14:paraId="2734BE59" w14:textId="3991AA34" w:rsidR="00BB3108" w:rsidRDefault="00000000">
          <w:pPr>
            <w:pStyle w:val="TDC2"/>
            <w:tabs>
              <w:tab w:val="right" w:leader="dot" w:pos="8630"/>
            </w:tabs>
            <w:rPr>
              <w:noProof/>
              <w:kern w:val="2"/>
              <w:lang w:val="es-CL" w:eastAsia="es-CL"/>
              <w14:ligatures w14:val="standardContextual"/>
            </w:rPr>
          </w:pPr>
          <w:hyperlink w:anchor="_Toc206753338" w:history="1">
            <w:r w:rsidR="00BB3108" w:rsidRPr="002F7ED6">
              <w:rPr>
                <w:rStyle w:val="Hipervnculo"/>
                <w:noProof/>
                <w:lang w:val="es-CL"/>
              </w:rPr>
              <w:t>Tratamiento de la base de datos</w:t>
            </w:r>
            <w:r w:rsidR="00BB3108">
              <w:rPr>
                <w:noProof/>
                <w:webHidden/>
              </w:rPr>
              <w:tab/>
            </w:r>
            <w:r w:rsidR="00BB3108">
              <w:rPr>
                <w:noProof/>
                <w:webHidden/>
              </w:rPr>
              <w:fldChar w:fldCharType="begin"/>
            </w:r>
            <w:r w:rsidR="00BB3108">
              <w:rPr>
                <w:noProof/>
                <w:webHidden/>
              </w:rPr>
              <w:instrText xml:space="preserve"> PAGEREF _Toc206753338 \h </w:instrText>
            </w:r>
            <w:r w:rsidR="00BB3108">
              <w:rPr>
                <w:noProof/>
                <w:webHidden/>
              </w:rPr>
            </w:r>
            <w:r w:rsidR="00BB3108">
              <w:rPr>
                <w:noProof/>
                <w:webHidden/>
              </w:rPr>
              <w:fldChar w:fldCharType="separate"/>
            </w:r>
            <w:r w:rsidR="00BB3108">
              <w:rPr>
                <w:noProof/>
                <w:webHidden/>
              </w:rPr>
              <w:t>4</w:t>
            </w:r>
            <w:r w:rsidR="00BB3108">
              <w:rPr>
                <w:noProof/>
                <w:webHidden/>
              </w:rPr>
              <w:fldChar w:fldCharType="end"/>
            </w:r>
          </w:hyperlink>
        </w:p>
        <w:p w14:paraId="2D7724B7" w14:textId="0FD8001D" w:rsidR="00BB3108" w:rsidRDefault="00000000">
          <w:pPr>
            <w:pStyle w:val="TDC2"/>
            <w:tabs>
              <w:tab w:val="right" w:leader="dot" w:pos="8630"/>
            </w:tabs>
            <w:rPr>
              <w:noProof/>
              <w:kern w:val="2"/>
              <w:lang w:val="es-CL" w:eastAsia="es-CL"/>
              <w14:ligatures w14:val="standardContextual"/>
            </w:rPr>
          </w:pPr>
          <w:hyperlink w:anchor="_Toc206753339" w:history="1">
            <w:r w:rsidR="00BB3108" w:rsidRPr="002F7ED6">
              <w:rPr>
                <w:rStyle w:val="Hipervnculo"/>
                <w:noProof/>
                <w:lang w:val="es-CL"/>
              </w:rPr>
              <w:t>Construcción del índice</w:t>
            </w:r>
            <w:r w:rsidR="00BB3108">
              <w:rPr>
                <w:noProof/>
                <w:webHidden/>
              </w:rPr>
              <w:tab/>
            </w:r>
            <w:r w:rsidR="00BB3108">
              <w:rPr>
                <w:noProof/>
                <w:webHidden/>
              </w:rPr>
              <w:fldChar w:fldCharType="begin"/>
            </w:r>
            <w:r w:rsidR="00BB3108">
              <w:rPr>
                <w:noProof/>
                <w:webHidden/>
              </w:rPr>
              <w:instrText xml:space="preserve"> PAGEREF _Toc206753339 \h </w:instrText>
            </w:r>
            <w:r w:rsidR="00BB3108">
              <w:rPr>
                <w:noProof/>
                <w:webHidden/>
              </w:rPr>
            </w:r>
            <w:r w:rsidR="00BB3108">
              <w:rPr>
                <w:noProof/>
                <w:webHidden/>
              </w:rPr>
              <w:fldChar w:fldCharType="separate"/>
            </w:r>
            <w:r w:rsidR="00BB3108">
              <w:rPr>
                <w:noProof/>
                <w:webHidden/>
              </w:rPr>
              <w:t>5</w:t>
            </w:r>
            <w:r w:rsidR="00BB3108">
              <w:rPr>
                <w:noProof/>
                <w:webHidden/>
              </w:rPr>
              <w:fldChar w:fldCharType="end"/>
            </w:r>
          </w:hyperlink>
        </w:p>
        <w:p w14:paraId="4EC845CA" w14:textId="42711671" w:rsidR="00BB3108" w:rsidRDefault="00000000">
          <w:pPr>
            <w:pStyle w:val="TDC1"/>
            <w:tabs>
              <w:tab w:val="right" w:leader="dot" w:pos="8630"/>
            </w:tabs>
            <w:rPr>
              <w:noProof/>
              <w:kern w:val="2"/>
              <w:lang w:val="es-CL" w:eastAsia="es-CL"/>
              <w14:ligatures w14:val="standardContextual"/>
            </w:rPr>
          </w:pPr>
          <w:hyperlink w:anchor="_Toc206753340" w:history="1">
            <w:r w:rsidR="00BB3108" w:rsidRPr="002F7ED6">
              <w:rPr>
                <w:rStyle w:val="Hipervnculo"/>
                <w:noProof/>
              </w:rPr>
              <w:t>Resultados preliminares</w:t>
            </w:r>
            <w:r w:rsidR="00BB3108">
              <w:rPr>
                <w:noProof/>
                <w:webHidden/>
              </w:rPr>
              <w:tab/>
            </w:r>
            <w:r w:rsidR="00BB3108">
              <w:rPr>
                <w:noProof/>
                <w:webHidden/>
              </w:rPr>
              <w:fldChar w:fldCharType="begin"/>
            </w:r>
            <w:r w:rsidR="00BB3108">
              <w:rPr>
                <w:noProof/>
                <w:webHidden/>
              </w:rPr>
              <w:instrText xml:space="preserve"> PAGEREF _Toc206753340 \h </w:instrText>
            </w:r>
            <w:r w:rsidR="00BB3108">
              <w:rPr>
                <w:noProof/>
                <w:webHidden/>
              </w:rPr>
            </w:r>
            <w:r w:rsidR="00BB3108">
              <w:rPr>
                <w:noProof/>
                <w:webHidden/>
              </w:rPr>
              <w:fldChar w:fldCharType="separate"/>
            </w:r>
            <w:r w:rsidR="00BB3108">
              <w:rPr>
                <w:noProof/>
                <w:webHidden/>
              </w:rPr>
              <w:t>7</w:t>
            </w:r>
            <w:r w:rsidR="00BB3108">
              <w:rPr>
                <w:noProof/>
                <w:webHidden/>
              </w:rPr>
              <w:fldChar w:fldCharType="end"/>
            </w:r>
          </w:hyperlink>
        </w:p>
        <w:p w14:paraId="742A30E5" w14:textId="1F1250D2" w:rsidR="00BB3108" w:rsidRDefault="00000000">
          <w:pPr>
            <w:pStyle w:val="TDC1"/>
            <w:tabs>
              <w:tab w:val="right" w:leader="dot" w:pos="8630"/>
            </w:tabs>
            <w:rPr>
              <w:noProof/>
              <w:kern w:val="2"/>
              <w:lang w:val="es-CL" w:eastAsia="es-CL"/>
              <w14:ligatures w14:val="standardContextual"/>
            </w:rPr>
          </w:pPr>
          <w:hyperlink w:anchor="_Toc206753341" w:history="1">
            <w:r w:rsidR="00BB3108" w:rsidRPr="002F7ED6">
              <w:rPr>
                <w:rStyle w:val="Hipervnculo"/>
                <w:noProof/>
              </w:rPr>
              <w:t>Análisis de robustez</w:t>
            </w:r>
            <w:r w:rsidR="00BB3108">
              <w:rPr>
                <w:noProof/>
                <w:webHidden/>
              </w:rPr>
              <w:tab/>
            </w:r>
            <w:r w:rsidR="00BB3108">
              <w:rPr>
                <w:noProof/>
                <w:webHidden/>
              </w:rPr>
              <w:fldChar w:fldCharType="begin"/>
            </w:r>
            <w:r w:rsidR="00BB3108">
              <w:rPr>
                <w:noProof/>
                <w:webHidden/>
              </w:rPr>
              <w:instrText xml:space="preserve"> PAGEREF _Toc206753341 \h </w:instrText>
            </w:r>
            <w:r w:rsidR="00BB3108">
              <w:rPr>
                <w:noProof/>
                <w:webHidden/>
              </w:rPr>
            </w:r>
            <w:r w:rsidR="00BB3108">
              <w:rPr>
                <w:noProof/>
                <w:webHidden/>
              </w:rPr>
              <w:fldChar w:fldCharType="separate"/>
            </w:r>
            <w:r w:rsidR="00BB3108">
              <w:rPr>
                <w:noProof/>
                <w:webHidden/>
              </w:rPr>
              <w:t>7</w:t>
            </w:r>
            <w:r w:rsidR="00BB3108">
              <w:rPr>
                <w:noProof/>
                <w:webHidden/>
              </w:rPr>
              <w:fldChar w:fldCharType="end"/>
            </w:r>
          </w:hyperlink>
        </w:p>
        <w:p w14:paraId="11A2AB38" w14:textId="3FA2AB58" w:rsidR="00BB3108" w:rsidRDefault="00000000">
          <w:pPr>
            <w:pStyle w:val="TDC1"/>
            <w:tabs>
              <w:tab w:val="right" w:leader="dot" w:pos="8630"/>
            </w:tabs>
            <w:rPr>
              <w:noProof/>
              <w:kern w:val="2"/>
              <w:lang w:val="es-CL" w:eastAsia="es-CL"/>
              <w14:ligatures w14:val="standardContextual"/>
            </w:rPr>
          </w:pPr>
          <w:hyperlink w:anchor="_Toc206753342" w:history="1">
            <w:r w:rsidR="00BB3108" w:rsidRPr="002F7ED6">
              <w:rPr>
                <w:rStyle w:val="Hipervnculo"/>
                <w:noProof/>
              </w:rPr>
              <w:t>Referencias</w:t>
            </w:r>
            <w:r w:rsidR="00BB3108">
              <w:rPr>
                <w:noProof/>
                <w:webHidden/>
              </w:rPr>
              <w:tab/>
            </w:r>
            <w:r w:rsidR="00BB3108">
              <w:rPr>
                <w:noProof/>
                <w:webHidden/>
              </w:rPr>
              <w:fldChar w:fldCharType="begin"/>
            </w:r>
            <w:r w:rsidR="00BB3108">
              <w:rPr>
                <w:noProof/>
                <w:webHidden/>
              </w:rPr>
              <w:instrText xml:space="preserve"> PAGEREF _Toc206753342 \h </w:instrText>
            </w:r>
            <w:r w:rsidR="00BB3108">
              <w:rPr>
                <w:noProof/>
                <w:webHidden/>
              </w:rPr>
            </w:r>
            <w:r w:rsidR="00BB3108">
              <w:rPr>
                <w:noProof/>
                <w:webHidden/>
              </w:rPr>
              <w:fldChar w:fldCharType="separate"/>
            </w:r>
            <w:r w:rsidR="00BB3108">
              <w:rPr>
                <w:noProof/>
                <w:webHidden/>
              </w:rPr>
              <w:t>7</w:t>
            </w:r>
            <w:r w:rsidR="00BB3108">
              <w:rPr>
                <w:noProof/>
                <w:webHidden/>
              </w:rPr>
              <w:fldChar w:fldCharType="end"/>
            </w:r>
          </w:hyperlink>
        </w:p>
        <w:p w14:paraId="288F37B8" w14:textId="2D63A129" w:rsidR="00BB3108" w:rsidRDefault="00000000">
          <w:pPr>
            <w:pStyle w:val="TDC1"/>
            <w:tabs>
              <w:tab w:val="right" w:leader="dot" w:pos="8630"/>
            </w:tabs>
            <w:rPr>
              <w:noProof/>
              <w:kern w:val="2"/>
              <w:lang w:val="es-CL" w:eastAsia="es-CL"/>
              <w14:ligatures w14:val="standardContextual"/>
            </w:rPr>
          </w:pPr>
          <w:hyperlink w:anchor="_Toc206753343" w:history="1">
            <w:r w:rsidR="00BB3108" w:rsidRPr="002F7ED6">
              <w:rPr>
                <w:rStyle w:val="Hipervnculo"/>
                <w:noProof/>
              </w:rPr>
              <w:t>Anexos</w:t>
            </w:r>
            <w:r w:rsidR="00BB3108">
              <w:rPr>
                <w:noProof/>
                <w:webHidden/>
              </w:rPr>
              <w:tab/>
            </w:r>
            <w:r w:rsidR="00BB3108">
              <w:rPr>
                <w:noProof/>
                <w:webHidden/>
              </w:rPr>
              <w:fldChar w:fldCharType="begin"/>
            </w:r>
            <w:r w:rsidR="00BB3108">
              <w:rPr>
                <w:noProof/>
                <w:webHidden/>
              </w:rPr>
              <w:instrText xml:space="preserve"> PAGEREF _Toc206753343 \h </w:instrText>
            </w:r>
            <w:r w:rsidR="00BB3108">
              <w:rPr>
                <w:noProof/>
                <w:webHidden/>
              </w:rPr>
            </w:r>
            <w:r w:rsidR="00BB3108">
              <w:rPr>
                <w:noProof/>
                <w:webHidden/>
              </w:rPr>
              <w:fldChar w:fldCharType="separate"/>
            </w:r>
            <w:r w:rsidR="00BB3108">
              <w:rPr>
                <w:noProof/>
                <w:webHidden/>
              </w:rPr>
              <w:t>7</w:t>
            </w:r>
            <w:r w:rsidR="00BB3108">
              <w:rPr>
                <w:noProof/>
                <w:webHidden/>
              </w:rPr>
              <w:fldChar w:fldCharType="end"/>
            </w:r>
          </w:hyperlink>
        </w:p>
        <w:p w14:paraId="480BFBAE" w14:textId="19596669" w:rsidR="00CC357C" w:rsidRPr="003F2872" w:rsidRDefault="006223A4" w:rsidP="003F2872">
          <w:pPr>
            <w:jc w:val="both"/>
          </w:pPr>
          <w:r>
            <w:rPr>
              <w:b/>
              <w:bCs/>
              <w:lang w:val="es-ES"/>
            </w:rPr>
            <w:fldChar w:fldCharType="end"/>
          </w:r>
        </w:p>
      </w:sdtContent>
    </w:sdt>
    <w:p w14:paraId="4A802590" w14:textId="77777777" w:rsidR="00542128" w:rsidRPr="002055CD" w:rsidRDefault="00000000" w:rsidP="003F2872">
      <w:pPr>
        <w:pStyle w:val="Ttulo1"/>
        <w:rPr>
          <w:lang w:val="es-CL"/>
        </w:rPr>
      </w:pPr>
      <w:bookmarkStart w:id="0" w:name="_Toc206753335"/>
      <w:r w:rsidRPr="00CC357C">
        <w:rPr>
          <w:lang w:val="es-CL"/>
        </w:rPr>
        <w:t>Introducción</w:t>
      </w:r>
      <w:bookmarkEnd w:id="0"/>
    </w:p>
    <w:p w14:paraId="4EDB12DD" w14:textId="77777777" w:rsidR="00B01732" w:rsidRPr="00CC357C" w:rsidRDefault="00B01732" w:rsidP="006223A4">
      <w:pPr>
        <w:spacing w:line="240" w:lineRule="auto"/>
        <w:jc w:val="both"/>
        <w:rPr>
          <w:rFonts w:asciiTheme="majorHAnsi" w:hAnsiTheme="majorHAnsi" w:cstheme="majorHAnsi"/>
          <w:lang w:val="es-CL"/>
        </w:rPr>
      </w:pPr>
    </w:p>
    <w:p w14:paraId="312DE6B8" w14:textId="7E53C009" w:rsidR="00542128" w:rsidRDefault="00000000" w:rsidP="006223A4">
      <w:pPr>
        <w:spacing w:line="240" w:lineRule="auto"/>
        <w:jc w:val="both"/>
        <w:rPr>
          <w:rFonts w:asciiTheme="majorHAnsi" w:hAnsiTheme="majorHAnsi" w:cstheme="majorHAnsi"/>
          <w:lang w:val="es-CL"/>
        </w:rPr>
      </w:pPr>
      <w:r w:rsidRPr="00CC357C">
        <w:rPr>
          <w:rFonts w:asciiTheme="majorHAnsi" w:hAnsiTheme="majorHAnsi" w:cstheme="majorHAnsi"/>
          <w:lang w:val="es-CL"/>
        </w:rPr>
        <w:t>El Índice Compuesto de Productividad Industrial (ICPI) busca sintetizar en una medida única la productividad relativa de las industrias manufactureras y de servicios en América Latina, comparando a nivel de divisiones de la CIIU (2 dígitos) y países. El índice integra distintas dimensiones de la productividad: eficiencia en el uso del trabajo, eficiencia en el uso del capital y desempeño externo. Al ser un índice compuesto, permite analizar heterogeneidad sectorial y comparar el desempeño relativo de los países.</w:t>
      </w:r>
      <w:r w:rsidR="00FF0680">
        <w:rPr>
          <w:rFonts w:asciiTheme="majorHAnsi" w:hAnsiTheme="majorHAnsi" w:cstheme="majorHAnsi"/>
          <w:lang w:val="es-CL"/>
        </w:rPr>
        <w:t xml:space="preserve"> </w:t>
      </w:r>
    </w:p>
    <w:p w14:paraId="07D8F0EE" w14:textId="77777777" w:rsidR="00300E42" w:rsidRDefault="00300E42" w:rsidP="006223A4">
      <w:pPr>
        <w:spacing w:line="240" w:lineRule="auto"/>
        <w:jc w:val="both"/>
        <w:rPr>
          <w:rFonts w:asciiTheme="majorHAnsi" w:hAnsiTheme="majorHAnsi" w:cstheme="majorHAnsi"/>
          <w:lang w:val="es-CL"/>
        </w:rPr>
      </w:pPr>
    </w:p>
    <w:p w14:paraId="0DC14E98" w14:textId="6CBD107D" w:rsidR="00300E42" w:rsidRPr="00CC357C" w:rsidRDefault="00300E42" w:rsidP="00300E42">
      <w:pPr>
        <w:pStyle w:val="Ttulo1"/>
        <w:rPr>
          <w:sz w:val="22"/>
          <w:szCs w:val="22"/>
          <w:lang w:val="es-CL"/>
        </w:rPr>
      </w:pPr>
      <w:bookmarkStart w:id="1" w:name="_Toc206753336"/>
      <w:r>
        <w:rPr>
          <w:lang w:val="es-CL"/>
        </w:rPr>
        <w:t>Revisión de la literatura</w:t>
      </w:r>
      <w:bookmarkEnd w:id="1"/>
    </w:p>
    <w:p w14:paraId="48F8FFC7" w14:textId="30E20255" w:rsidR="00542128" w:rsidRPr="00FF0680" w:rsidRDefault="003F2872" w:rsidP="003F2872">
      <w:pPr>
        <w:pStyle w:val="Ttulo1"/>
        <w:rPr>
          <w:lang w:val="es-CL"/>
        </w:rPr>
      </w:pPr>
      <w:bookmarkStart w:id="2" w:name="_Toc206753337"/>
      <w:r>
        <w:rPr>
          <w:lang w:val="es-CL"/>
        </w:rPr>
        <w:t>Datos y metodología</w:t>
      </w:r>
      <w:bookmarkEnd w:id="2"/>
    </w:p>
    <w:p w14:paraId="1F12D086" w14:textId="77777777" w:rsidR="00B01732" w:rsidRPr="00CC357C" w:rsidRDefault="00B01732" w:rsidP="006223A4">
      <w:pPr>
        <w:spacing w:line="240" w:lineRule="auto"/>
        <w:jc w:val="both"/>
        <w:rPr>
          <w:rFonts w:asciiTheme="majorHAnsi" w:hAnsiTheme="majorHAnsi" w:cstheme="majorHAnsi"/>
          <w:lang w:val="es-CL"/>
        </w:rPr>
      </w:pPr>
    </w:p>
    <w:p w14:paraId="696C651E" w14:textId="77777777" w:rsidR="003E1A05" w:rsidRDefault="003E1A05" w:rsidP="003E1A05">
      <w:pPr>
        <w:spacing w:line="240" w:lineRule="auto"/>
        <w:jc w:val="both"/>
        <w:rPr>
          <w:rFonts w:asciiTheme="majorHAnsi" w:hAnsiTheme="majorHAnsi" w:cstheme="majorHAnsi"/>
          <w:lang w:val="es-CL"/>
        </w:rPr>
      </w:pPr>
      <w:r>
        <w:rPr>
          <w:rFonts w:asciiTheme="majorHAnsi" w:hAnsiTheme="majorHAnsi" w:cstheme="majorHAnsi"/>
          <w:lang w:val="es-CL"/>
        </w:rPr>
        <w:t xml:space="preserve">Para la construcción de este índice se toma el período 2018-2023 y se considera Chile, Mexico, Colombia, Ecuador, Perú, Uruguay y Brazil. </w:t>
      </w:r>
      <w:r w:rsidRPr="006223A4">
        <w:rPr>
          <w:rFonts w:asciiTheme="majorHAnsi" w:hAnsiTheme="majorHAnsi" w:cstheme="majorHAnsi"/>
          <w:lang w:val="es-CL"/>
        </w:rPr>
        <w:t>El ICPI se calcula a nivel de industria CIIU de 2 dígitos y por país, con series temporales anuales. Las variables</w:t>
      </w:r>
      <w:r w:rsidR="00423F53" w:rsidRPr="006223A4">
        <w:rPr>
          <w:rFonts w:asciiTheme="majorHAnsi" w:hAnsiTheme="majorHAnsi" w:cstheme="majorHAnsi"/>
          <w:lang w:val="es-CL"/>
        </w:rPr>
        <w:t xml:space="preserve"> que se incluyen son</w:t>
      </w:r>
      <w:r w:rsidRPr="006223A4">
        <w:rPr>
          <w:rFonts w:asciiTheme="majorHAnsi" w:hAnsiTheme="majorHAnsi" w:cstheme="majorHAnsi"/>
          <w:lang w:val="es-CL"/>
        </w:rPr>
        <w:t xml:space="preserve">: </w:t>
      </w:r>
      <w:r w:rsidR="00423F53" w:rsidRPr="006223A4">
        <w:rPr>
          <w:rFonts w:asciiTheme="majorHAnsi" w:hAnsiTheme="majorHAnsi" w:cstheme="majorHAnsi"/>
          <w:lang w:val="es-CL"/>
        </w:rPr>
        <w:t xml:space="preserve">el </w:t>
      </w:r>
      <w:r w:rsidRPr="006223A4">
        <w:rPr>
          <w:rFonts w:asciiTheme="majorHAnsi" w:hAnsiTheme="majorHAnsi" w:cstheme="majorHAnsi"/>
          <w:lang w:val="es-CL"/>
        </w:rPr>
        <w:t xml:space="preserve">Valor Agregado (VA), Consumo Intermedio (CI), </w:t>
      </w:r>
      <w:r w:rsidR="00423F53" w:rsidRPr="006223A4">
        <w:rPr>
          <w:rFonts w:asciiTheme="majorHAnsi" w:hAnsiTheme="majorHAnsi" w:cstheme="majorHAnsi"/>
          <w:lang w:val="es-CL"/>
        </w:rPr>
        <w:t>el número de o</w:t>
      </w:r>
      <w:r w:rsidRPr="006223A4">
        <w:rPr>
          <w:rFonts w:asciiTheme="majorHAnsi" w:hAnsiTheme="majorHAnsi" w:cstheme="majorHAnsi"/>
          <w:lang w:val="es-CL"/>
        </w:rPr>
        <w:t xml:space="preserve">cupados, </w:t>
      </w:r>
      <w:r w:rsidR="00423F53" w:rsidRPr="006223A4">
        <w:rPr>
          <w:rFonts w:asciiTheme="majorHAnsi" w:hAnsiTheme="majorHAnsi" w:cstheme="majorHAnsi"/>
          <w:lang w:val="es-CL"/>
        </w:rPr>
        <w:t>las h</w:t>
      </w:r>
      <w:r w:rsidRPr="006223A4">
        <w:rPr>
          <w:rFonts w:asciiTheme="majorHAnsi" w:hAnsiTheme="majorHAnsi" w:cstheme="majorHAnsi"/>
          <w:lang w:val="es-CL"/>
        </w:rPr>
        <w:t xml:space="preserve">oras trabajadas, </w:t>
      </w:r>
      <w:r w:rsidR="00423F53" w:rsidRPr="006223A4">
        <w:rPr>
          <w:rFonts w:asciiTheme="majorHAnsi" w:hAnsiTheme="majorHAnsi" w:cstheme="majorHAnsi"/>
          <w:lang w:val="es-CL"/>
        </w:rPr>
        <w:t>el c</w:t>
      </w:r>
      <w:r w:rsidRPr="006223A4">
        <w:rPr>
          <w:rFonts w:asciiTheme="majorHAnsi" w:hAnsiTheme="majorHAnsi" w:cstheme="majorHAnsi"/>
          <w:lang w:val="es-CL"/>
        </w:rPr>
        <w:t xml:space="preserve">onsumo de electricidad </w:t>
      </w:r>
      <w:r w:rsidR="00423F53" w:rsidRPr="006223A4">
        <w:rPr>
          <w:rFonts w:asciiTheme="majorHAnsi" w:hAnsiTheme="majorHAnsi" w:cstheme="majorHAnsi"/>
          <w:lang w:val="es-CL"/>
        </w:rPr>
        <w:t>en terajoules</w:t>
      </w:r>
      <w:r w:rsidRPr="006223A4">
        <w:rPr>
          <w:rFonts w:asciiTheme="majorHAnsi" w:hAnsiTheme="majorHAnsi" w:cstheme="majorHAnsi"/>
          <w:lang w:val="es-CL"/>
        </w:rPr>
        <w:t xml:space="preserve">, </w:t>
      </w:r>
      <w:r w:rsidR="00423F53" w:rsidRPr="006223A4">
        <w:rPr>
          <w:rFonts w:asciiTheme="majorHAnsi" w:hAnsiTheme="majorHAnsi" w:cstheme="majorHAnsi"/>
          <w:lang w:val="es-CL"/>
        </w:rPr>
        <w:t xml:space="preserve">las remuneraciones de los asalaridos, las exportaciones y las </w:t>
      </w:r>
      <w:r w:rsidR="00423F53" w:rsidRPr="006223A4">
        <w:rPr>
          <w:rFonts w:asciiTheme="majorHAnsi" w:hAnsiTheme="majorHAnsi" w:cstheme="majorHAnsi"/>
          <w:lang w:val="es-CL"/>
        </w:rPr>
        <w:lastRenderedPageBreak/>
        <w:t xml:space="preserve">importaciones. Esta información proviene de los datos de las encuestas económicas de países de la región, las cuáles se han centralizado y homogeneizado en BADECON. De manera adicional </w:t>
      </w:r>
      <w:r w:rsidRPr="006223A4">
        <w:rPr>
          <w:rFonts w:asciiTheme="majorHAnsi" w:hAnsiTheme="majorHAnsi" w:cstheme="majorHAnsi"/>
          <w:lang w:val="es-CL"/>
        </w:rPr>
        <w:t>se incorporan deflactores</w:t>
      </w:r>
      <w:r w:rsidR="00423F53" w:rsidRPr="006223A4">
        <w:rPr>
          <w:rFonts w:asciiTheme="majorHAnsi" w:hAnsiTheme="majorHAnsi" w:cstheme="majorHAnsi"/>
          <w:lang w:val="es-CL"/>
        </w:rPr>
        <w:t xml:space="preserve"> de variables nominales</w:t>
      </w:r>
      <w:r w:rsidRPr="006223A4">
        <w:rPr>
          <w:rFonts w:asciiTheme="majorHAnsi" w:hAnsiTheme="majorHAnsi" w:cstheme="majorHAnsi"/>
          <w:lang w:val="es-CL"/>
        </w:rPr>
        <w:t xml:space="preserve">, así como el </w:t>
      </w:r>
      <w:r w:rsidR="00423F53" w:rsidRPr="006223A4">
        <w:rPr>
          <w:rFonts w:asciiTheme="majorHAnsi" w:hAnsiTheme="majorHAnsi" w:cstheme="majorHAnsi"/>
          <w:lang w:val="es-CL"/>
        </w:rPr>
        <w:t xml:space="preserve">índice de paridad del poder de compra </w:t>
      </w:r>
      <w:r w:rsidR="00423F53" w:rsidRPr="006223A4">
        <w:rPr>
          <w:rFonts w:asciiTheme="majorHAnsi" w:hAnsiTheme="majorHAnsi" w:cstheme="majorHAnsi"/>
          <w:highlight w:val="yellow"/>
          <w:lang w:val="es-CL"/>
        </w:rPr>
        <w:t>(¿?)</w:t>
      </w:r>
      <w:r w:rsidR="00423F53" w:rsidRPr="006223A4">
        <w:rPr>
          <w:rFonts w:asciiTheme="majorHAnsi" w:hAnsiTheme="majorHAnsi" w:cstheme="majorHAnsi"/>
          <w:lang w:val="es-CL"/>
        </w:rPr>
        <w:t xml:space="preserve"> </w:t>
      </w:r>
      <w:r w:rsidRPr="006223A4">
        <w:rPr>
          <w:rFonts w:asciiTheme="majorHAnsi" w:hAnsiTheme="majorHAnsi" w:cstheme="majorHAnsi"/>
          <w:lang w:val="es-CL"/>
        </w:rPr>
        <w:t>para homogenizar comparaciones internacionales.</w:t>
      </w:r>
      <w:r w:rsidR="006223A4">
        <w:rPr>
          <w:rFonts w:asciiTheme="majorHAnsi" w:hAnsiTheme="majorHAnsi" w:cstheme="majorHAnsi"/>
          <w:lang w:val="es-CL"/>
        </w:rPr>
        <w:t xml:space="preserve"> </w:t>
      </w:r>
      <w:r w:rsidRPr="006223A4">
        <w:rPr>
          <w:rFonts w:asciiTheme="majorHAnsi" w:hAnsiTheme="majorHAnsi" w:cstheme="majorHAnsi"/>
          <w:lang w:val="es-CL"/>
        </w:rPr>
        <w:t>El análisis de productividad industrial requiere indicadores comparables y libres de sesgos de escala.</w:t>
      </w:r>
      <w:r w:rsidR="00FF0680">
        <w:rPr>
          <w:rFonts w:asciiTheme="majorHAnsi" w:hAnsiTheme="majorHAnsi" w:cstheme="majorHAnsi"/>
          <w:lang w:val="es-CL"/>
        </w:rPr>
        <w:t xml:space="preserve"> </w:t>
      </w:r>
    </w:p>
    <w:p w14:paraId="1F4348C9" w14:textId="77777777" w:rsidR="00C62CF6" w:rsidRDefault="003E1A05" w:rsidP="003E1A05">
      <w:pPr>
        <w:spacing w:line="240" w:lineRule="auto"/>
        <w:jc w:val="both"/>
        <w:rPr>
          <w:rFonts w:asciiTheme="majorHAnsi" w:hAnsiTheme="majorHAnsi" w:cstheme="majorHAnsi"/>
          <w:lang w:val="es-CL"/>
        </w:rPr>
      </w:pPr>
      <w:r w:rsidRPr="003E1A05">
        <w:rPr>
          <w:rFonts w:asciiTheme="majorHAnsi" w:hAnsiTheme="majorHAnsi" w:cstheme="majorHAnsi"/>
          <w:lang w:val="es-CL"/>
        </w:rPr>
        <w:t>La elección del período base 2018–2019 y 2022 responde a la necesidad de capturar un tramo representativo de la dinámica productiva reciente, pero evitando los efectos extraordinarios de la pandemia de 2020–2021. Los años 2018–2019 se consideran un punto de referencia de “normalidad” pre-pandemia, mientras que 2022 se incorpora como el año de recuperación y reacomodo de las cadenas productivas internacionales. Este recorte permite que los pesos del índice</w:t>
      </w:r>
      <w:r w:rsidR="00C62CF6">
        <w:rPr>
          <w:rFonts w:asciiTheme="majorHAnsi" w:hAnsiTheme="majorHAnsi" w:cstheme="majorHAnsi"/>
          <w:lang w:val="es-CL"/>
        </w:rPr>
        <w:t>, calculadados utilizando un análisis de componente principal,</w:t>
      </w:r>
      <w:r w:rsidRPr="003E1A05">
        <w:rPr>
          <w:rFonts w:asciiTheme="majorHAnsi" w:hAnsiTheme="majorHAnsi" w:cstheme="majorHAnsi"/>
          <w:lang w:val="es-CL"/>
        </w:rPr>
        <w:t xml:space="preserve"> reflejen un patrón estructural y no coyuntural. </w:t>
      </w:r>
    </w:p>
    <w:p w14:paraId="56B589C1" w14:textId="232D6332" w:rsidR="003E1A05" w:rsidRDefault="003E1A05" w:rsidP="003E1A05">
      <w:pPr>
        <w:spacing w:line="240" w:lineRule="auto"/>
        <w:jc w:val="both"/>
        <w:rPr>
          <w:rFonts w:asciiTheme="majorHAnsi" w:hAnsiTheme="majorHAnsi" w:cstheme="majorHAnsi"/>
          <w:lang w:val="es-CL"/>
        </w:rPr>
      </w:pPr>
      <w:r w:rsidRPr="003E1A05">
        <w:rPr>
          <w:rFonts w:asciiTheme="majorHAnsi" w:hAnsiTheme="majorHAnsi" w:cstheme="majorHAnsi"/>
          <w:lang w:val="es-CL"/>
        </w:rPr>
        <w:t>En cuanto al tratamiento de precios, los deflactores provienen de las series oficiales de CEPAL (National Accounts and Economic Surveys), mientras que la conversión a una moneda común se realiza mediante el ajuste por paridad de poder de compra (PPP), utilizando las estimaciones del Banco Mundial (World Development Indicators) y las series de la OECD para los países miembros. Esto asegura consistencia metodológica y comparabilidad internacional al eliminar efectos tanto de inflación interna como de diferencias de niveles de precios entre países.</w:t>
      </w:r>
    </w:p>
    <w:p w14:paraId="7B36960A" w14:textId="734C15C4" w:rsidR="003E1A05" w:rsidRPr="003E1A05" w:rsidRDefault="003E1A05" w:rsidP="003E1A05">
      <w:pPr>
        <w:spacing w:line="240" w:lineRule="auto"/>
        <w:jc w:val="both"/>
        <w:rPr>
          <w:rFonts w:asciiTheme="majorHAnsi" w:hAnsiTheme="majorHAnsi" w:cstheme="majorHAnsi"/>
          <w:lang w:val="es-CL"/>
        </w:rPr>
      </w:pPr>
      <w:r>
        <w:rPr>
          <w:rFonts w:asciiTheme="majorHAnsi" w:hAnsiTheme="majorHAnsi" w:cstheme="majorHAnsi"/>
          <w:lang w:val="es-CL"/>
        </w:rPr>
        <w:t>A continuación</w:t>
      </w:r>
      <w:r w:rsidR="00C62CF6">
        <w:rPr>
          <w:rFonts w:asciiTheme="majorHAnsi" w:hAnsiTheme="majorHAnsi" w:cstheme="majorHAnsi"/>
          <w:lang w:val="es-CL"/>
        </w:rPr>
        <w:t>,</w:t>
      </w:r>
      <w:r>
        <w:rPr>
          <w:rFonts w:asciiTheme="majorHAnsi" w:hAnsiTheme="majorHAnsi" w:cstheme="majorHAnsi"/>
          <w:lang w:val="es-CL"/>
        </w:rPr>
        <w:t xml:space="preserve"> se explica la racionalidad de las variables utilizadas para la consturcción del ICPI</w:t>
      </w:r>
    </w:p>
    <w:p w14:paraId="599D297A" w14:textId="0CCC05FB" w:rsidR="00BA7A13" w:rsidRPr="006223A4" w:rsidRDefault="00000000" w:rsidP="006223A4">
      <w:pPr>
        <w:jc w:val="both"/>
        <w:rPr>
          <w:rFonts w:asciiTheme="majorHAnsi" w:hAnsiTheme="majorHAnsi" w:cstheme="majorHAnsi"/>
          <w:lang w:val="es-CL"/>
        </w:rPr>
      </w:pPr>
      <w:r w:rsidRPr="006223A4">
        <w:rPr>
          <w:rFonts w:asciiTheme="majorHAnsi" w:hAnsiTheme="majorHAnsi" w:cstheme="majorHAnsi"/>
          <w:lang w:val="es-CL"/>
        </w:rPr>
        <w:br/>
      </w:r>
      <w:r w:rsidR="00BA7A13" w:rsidRPr="006223A4">
        <w:rPr>
          <w:rFonts w:asciiTheme="majorHAnsi" w:hAnsiTheme="majorHAnsi" w:cstheme="majorHAnsi"/>
          <w:lang w:val="es-CL"/>
        </w:rPr>
        <w:t xml:space="preserve">1. </w:t>
      </w:r>
      <w:r w:rsidR="00BA7A13" w:rsidRPr="006223A4">
        <w:rPr>
          <w:rFonts w:asciiTheme="majorHAnsi" w:hAnsiTheme="majorHAnsi" w:cstheme="majorHAnsi"/>
          <w:i/>
          <w:iCs/>
          <w:lang w:val="es-CL"/>
        </w:rPr>
        <w:t>Productividad laboral: VA por ocupado y VA por hora trabajada</w:t>
      </w:r>
    </w:p>
    <w:p w14:paraId="0F29C0CB" w14:textId="43A2A90E" w:rsidR="00BA7A13" w:rsidRPr="002055CD" w:rsidRDefault="00BA7A13" w:rsidP="006223A4">
      <w:pPr>
        <w:jc w:val="both"/>
        <w:rPr>
          <w:rFonts w:asciiTheme="majorHAnsi" w:hAnsiTheme="majorHAnsi" w:cstheme="majorHAnsi"/>
          <w:lang w:val="es-CL"/>
        </w:rPr>
      </w:pPr>
      <w:r w:rsidRPr="002055CD">
        <w:rPr>
          <w:rFonts w:asciiTheme="majorHAnsi" w:hAnsiTheme="majorHAnsi" w:cstheme="majorHAnsi"/>
          <w:lang w:val="es-CL"/>
        </w:rPr>
        <w:t>Según la Organización Internacional del Trabajo (ILO por sus siglas en inglés), la productividad laboral, medida como producción por ocupado o por hora, es un indicador clave para evaluar el crecimiento económico, la competitividad y los estándares de vida. En la práctica, muchos países solo reportan número de ocupados (UNIDO recomienda usar empleados o equivalentes a tiempo completo.</w:t>
      </w:r>
    </w:p>
    <w:p w14:paraId="4FD5EC69" w14:textId="2DC92CC6" w:rsidR="00BA7A13" w:rsidRPr="002055CD" w:rsidRDefault="00BA7A13" w:rsidP="006223A4">
      <w:pPr>
        <w:jc w:val="both"/>
        <w:rPr>
          <w:rFonts w:asciiTheme="majorHAnsi" w:hAnsiTheme="majorHAnsi" w:cstheme="majorHAnsi"/>
          <w:lang w:val="es-CL"/>
        </w:rPr>
      </w:pPr>
      <w:r w:rsidRPr="002055CD">
        <w:rPr>
          <w:rFonts w:asciiTheme="majorHAnsi" w:hAnsiTheme="majorHAnsi" w:cstheme="majorHAnsi"/>
          <w:b/>
          <w:bCs/>
          <w:lang w:val="es-CL"/>
        </w:rPr>
        <w:t>Problemas</w:t>
      </w:r>
      <w:r w:rsidRPr="002055CD">
        <w:rPr>
          <w:rFonts w:asciiTheme="majorHAnsi" w:hAnsiTheme="majorHAnsi" w:cstheme="majorHAnsi"/>
          <w:lang w:val="es-CL"/>
        </w:rPr>
        <w:t>: VA/Ocupados no distingue entre intensidad de uso del trabajo ni calidad; VA/Horas captura uso efectivo del tiempo, pero su disponibilidad es reducida en algunos países.</w:t>
      </w:r>
    </w:p>
    <w:p w14:paraId="5CDB489E" w14:textId="77777777" w:rsidR="00BA7A13" w:rsidRPr="006223A4" w:rsidRDefault="00BA7A13" w:rsidP="006223A4">
      <w:pPr>
        <w:jc w:val="both"/>
        <w:rPr>
          <w:rFonts w:asciiTheme="majorHAnsi" w:hAnsiTheme="majorHAnsi" w:cstheme="majorHAnsi"/>
          <w:i/>
          <w:iCs/>
          <w:lang w:val="es-CL"/>
        </w:rPr>
      </w:pPr>
      <w:r w:rsidRPr="006223A4">
        <w:rPr>
          <w:rFonts w:asciiTheme="majorHAnsi" w:hAnsiTheme="majorHAnsi" w:cstheme="majorHAnsi"/>
          <w:lang w:val="es-CL"/>
        </w:rPr>
        <w:t xml:space="preserve">2. </w:t>
      </w:r>
      <w:r w:rsidRPr="006223A4">
        <w:rPr>
          <w:rFonts w:asciiTheme="majorHAnsi" w:hAnsiTheme="majorHAnsi" w:cstheme="majorHAnsi"/>
          <w:i/>
          <w:iCs/>
          <w:lang w:val="es-CL"/>
        </w:rPr>
        <w:t>Eficiencia técnica: CI/VA (consumo intermedio sobre valor agregado)</w:t>
      </w:r>
    </w:p>
    <w:p w14:paraId="37FCE8DC" w14:textId="77777777" w:rsidR="00BA7A13" w:rsidRPr="002055CD" w:rsidRDefault="00BA7A13" w:rsidP="006223A4">
      <w:pPr>
        <w:jc w:val="both"/>
        <w:rPr>
          <w:rFonts w:asciiTheme="majorHAnsi" w:hAnsiTheme="majorHAnsi" w:cstheme="majorHAnsi"/>
          <w:lang w:val="es-CL"/>
        </w:rPr>
      </w:pPr>
      <w:r w:rsidRPr="006223A4">
        <w:rPr>
          <w:rFonts w:asciiTheme="majorHAnsi" w:hAnsiTheme="majorHAnsi" w:cstheme="majorHAnsi"/>
          <w:lang w:val="es-CL"/>
        </w:rPr>
        <w:t xml:space="preserve">Este ratio refleja la intensidad con que una industria utiliza insumos intermedios para generar valor agregado. </w:t>
      </w:r>
      <w:r w:rsidRPr="002055CD">
        <w:rPr>
          <w:rFonts w:asciiTheme="majorHAnsi" w:hAnsiTheme="majorHAnsi" w:cstheme="majorHAnsi"/>
          <w:lang w:val="es-CL"/>
        </w:rPr>
        <w:t>Es una aproximación a la eficiencia técnica o productividad de procesos, muy utilizada en estudios de productividad industrial (p. ej., UNIDO en sus bases INDSTAT</w:t>
      </w:r>
    </w:p>
    <w:p w14:paraId="68314366" w14:textId="5DEA8191" w:rsidR="00BA7A13" w:rsidRPr="002055CD" w:rsidRDefault="00BA7A13" w:rsidP="006223A4">
      <w:pPr>
        <w:jc w:val="both"/>
        <w:rPr>
          <w:rFonts w:asciiTheme="majorHAnsi" w:hAnsiTheme="majorHAnsi" w:cstheme="majorHAnsi"/>
          <w:lang w:val="es-CL"/>
        </w:rPr>
      </w:pPr>
      <w:r w:rsidRPr="002055CD">
        <w:rPr>
          <w:rFonts w:asciiTheme="majorHAnsi" w:hAnsiTheme="majorHAnsi" w:cstheme="majorHAnsi"/>
          <w:b/>
          <w:bCs/>
          <w:lang w:val="es-CL"/>
        </w:rPr>
        <w:t>P</w:t>
      </w:r>
      <w:r w:rsidR="00A431E5" w:rsidRPr="002055CD">
        <w:rPr>
          <w:rFonts w:asciiTheme="majorHAnsi" w:hAnsiTheme="majorHAnsi" w:cstheme="majorHAnsi"/>
          <w:b/>
          <w:bCs/>
          <w:lang w:val="es-CL"/>
        </w:rPr>
        <w:t>ro</w:t>
      </w:r>
      <w:r w:rsidRPr="002055CD">
        <w:rPr>
          <w:rFonts w:asciiTheme="majorHAnsi" w:hAnsiTheme="majorHAnsi" w:cstheme="majorHAnsi"/>
          <w:b/>
          <w:bCs/>
          <w:lang w:val="es-CL"/>
        </w:rPr>
        <w:t>blemas</w:t>
      </w:r>
      <w:r w:rsidRPr="002055CD">
        <w:rPr>
          <w:rFonts w:asciiTheme="majorHAnsi" w:hAnsiTheme="majorHAnsi" w:cstheme="majorHAnsi"/>
          <w:lang w:val="es-CL"/>
        </w:rPr>
        <w:t>: no captura calidad del insumo ni efectos de escala o tecnología; puede variar por integración de cadena productiva (vertically integrated firms).</w:t>
      </w:r>
    </w:p>
    <w:p w14:paraId="44F38C2D" w14:textId="77777777" w:rsidR="00BA7A13" w:rsidRPr="006223A4" w:rsidRDefault="00BA7A13" w:rsidP="006223A4">
      <w:pPr>
        <w:jc w:val="both"/>
        <w:rPr>
          <w:rFonts w:asciiTheme="majorHAnsi" w:hAnsiTheme="majorHAnsi" w:cstheme="majorHAnsi"/>
          <w:lang w:val="es-CL"/>
        </w:rPr>
      </w:pPr>
      <w:r w:rsidRPr="006223A4">
        <w:rPr>
          <w:rFonts w:asciiTheme="majorHAnsi" w:hAnsiTheme="majorHAnsi" w:cstheme="majorHAnsi"/>
          <w:lang w:val="es-CL"/>
        </w:rPr>
        <w:t xml:space="preserve">3. </w:t>
      </w:r>
      <w:r w:rsidRPr="006223A4">
        <w:rPr>
          <w:rFonts w:asciiTheme="majorHAnsi" w:hAnsiTheme="majorHAnsi" w:cstheme="majorHAnsi"/>
          <w:i/>
          <w:iCs/>
          <w:lang w:val="es-CL"/>
        </w:rPr>
        <w:t>Productividad laboral ajustada al costo: Remuneraciones/Ocupados y Remuneraciones/VA</w:t>
      </w:r>
    </w:p>
    <w:p w14:paraId="4E55784F" w14:textId="41C1DB88" w:rsidR="00BA7A13" w:rsidRPr="002055CD" w:rsidRDefault="00BA7A13" w:rsidP="006223A4">
      <w:pPr>
        <w:jc w:val="both"/>
        <w:rPr>
          <w:rFonts w:asciiTheme="majorHAnsi" w:hAnsiTheme="majorHAnsi" w:cstheme="majorHAnsi"/>
          <w:lang w:val="es-CL"/>
        </w:rPr>
      </w:pPr>
      <w:r w:rsidRPr="002055CD">
        <w:rPr>
          <w:rFonts w:asciiTheme="majorHAnsi" w:hAnsiTheme="majorHAnsi" w:cstheme="majorHAnsi"/>
          <w:lang w:val="es-CL"/>
        </w:rPr>
        <w:lastRenderedPageBreak/>
        <w:t>La relación entre remuneraciones y ocupados aproxima el costo laboral promedio por empleado; comparado con VA, da una visión del costo relativo de producción, útil para analizar competitividad (menores costos laborales pueden indicar ventaja competitiva)</w:t>
      </w:r>
    </w:p>
    <w:p w14:paraId="3FF53FFF" w14:textId="06764B73" w:rsidR="00BA7A13" w:rsidRPr="002055CD" w:rsidRDefault="00BA7A13" w:rsidP="006223A4">
      <w:pPr>
        <w:jc w:val="both"/>
        <w:rPr>
          <w:rFonts w:asciiTheme="majorHAnsi" w:hAnsiTheme="majorHAnsi" w:cstheme="majorHAnsi"/>
          <w:lang w:val="es-CL"/>
        </w:rPr>
      </w:pPr>
      <w:r w:rsidRPr="002055CD">
        <w:rPr>
          <w:rFonts w:asciiTheme="majorHAnsi" w:hAnsiTheme="majorHAnsi" w:cstheme="majorHAnsi"/>
          <w:b/>
          <w:bCs/>
          <w:lang w:val="es-CL"/>
        </w:rPr>
        <w:t>Problemas</w:t>
      </w:r>
      <w:r w:rsidRPr="002055CD">
        <w:rPr>
          <w:rFonts w:asciiTheme="majorHAnsi" w:hAnsiTheme="majorHAnsi" w:cstheme="majorHAnsi"/>
          <w:lang w:val="es-CL"/>
        </w:rPr>
        <w:t>: remuneraciones pueden variar por composición ocupacional, calificaciones y estructura de mercado laboral; no es un indicador puro de productividad.</w:t>
      </w:r>
    </w:p>
    <w:p w14:paraId="3EA4F68C" w14:textId="3BF5B67C" w:rsidR="00BA7A13" w:rsidRPr="006223A4" w:rsidRDefault="00BA7A13" w:rsidP="006223A4">
      <w:pPr>
        <w:jc w:val="both"/>
        <w:rPr>
          <w:rFonts w:asciiTheme="majorHAnsi" w:hAnsiTheme="majorHAnsi" w:cstheme="majorHAnsi"/>
          <w:i/>
          <w:iCs/>
          <w:lang w:val="es-CL"/>
        </w:rPr>
      </w:pPr>
      <w:r w:rsidRPr="006223A4">
        <w:rPr>
          <w:rFonts w:asciiTheme="majorHAnsi" w:hAnsiTheme="majorHAnsi" w:cstheme="majorHAnsi"/>
          <w:lang w:val="es-CL"/>
        </w:rPr>
        <w:t xml:space="preserve">4. </w:t>
      </w:r>
      <w:r w:rsidRPr="006223A4">
        <w:rPr>
          <w:rFonts w:asciiTheme="majorHAnsi" w:hAnsiTheme="majorHAnsi" w:cstheme="majorHAnsi"/>
          <w:i/>
          <w:iCs/>
          <w:lang w:val="es-CL"/>
        </w:rPr>
        <w:t>Intensidad energética: Electricidad/VA</w:t>
      </w:r>
      <w:r w:rsidR="00A431E5" w:rsidRPr="006223A4">
        <w:rPr>
          <w:rFonts w:asciiTheme="majorHAnsi" w:hAnsiTheme="majorHAnsi" w:cstheme="majorHAnsi"/>
          <w:i/>
          <w:iCs/>
          <w:lang w:val="es-CL"/>
        </w:rPr>
        <w:t xml:space="preserve"> o Consumo de combustible/VA</w:t>
      </w:r>
    </w:p>
    <w:p w14:paraId="3292ECF5" w14:textId="77777777" w:rsidR="00BA7A13" w:rsidRPr="002055CD" w:rsidRDefault="00BA7A13" w:rsidP="006223A4">
      <w:pPr>
        <w:jc w:val="both"/>
        <w:rPr>
          <w:rFonts w:asciiTheme="majorHAnsi" w:hAnsiTheme="majorHAnsi" w:cstheme="majorHAnsi"/>
          <w:lang w:val="es-CL"/>
        </w:rPr>
      </w:pPr>
      <w:r w:rsidRPr="002055CD">
        <w:rPr>
          <w:rFonts w:asciiTheme="majorHAnsi" w:hAnsiTheme="majorHAnsi" w:cstheme="majorHAnsi"/>
          <w:lang w:val="es-CL"/>
        </w:rPr>
        <w:t xml:space="preserve">Naciones Unidas y la Agencia Internacional de la Energía (IEA por sus siglas en inglés) usan indicadores como energía por unidad de producción (energy intensity) como proxy de eficiencia energética industrial. La eficiencia energética industrial es clave para reducir costos y emisiones, como se destaca en los objetivos del ODS 7.3 </w:t>
      </w:r>
    </w:p>
    <w:p w14:paraId="5A64254C" w14:textId="18E5E817" w:rsidR="00BA7A13" w:rsidRPr="002055CD" w:rsidRDefault="00BA7A13" w:rsidP="006223A4">
      <w:pPr>
        <w:jc w:val="both"/>
        <w:rPr>
          <w:rFonts w:asciiTheme="majorHAnsi" w:hAnsiTheme="majorHAnsi" w:cstheme="majorHAnsi"/>
          <w:lang w:val="es-CL"/>
        </w:rPr>
      </w:pPr>
      <w:r w:rsidRPr="002055CD">
        <w:rPr>
          <w:rFonts w:asciiTheme="majorHAnsi" w:hAnsiTheme="majorHAnsi" w:cstheme="majorHAnsi"/>
          <w:b/>
          <w:bCs/>
          <w:lang w:val="es-CL"/>
        </w:rPr>
        <w:t>Problemas</w:t>
      </w:r>
      <w:r w:rsidRPr="002055CD">
        <w:rPr>
          <w:rFonts w:asciiTheme="majorHAnsi" w:hAnsiTheme="majorHAnsi" w:cstheme="majorHAnsi"/>
          <w:lang w:val="es-CL"/>
        </w:rPr>
        <w:t xml:space="preserve">: cambios </w:t>
      </w:r>
      <w:r w:rsidR="00A431E5" w:rsidRPr="002055CD">
        <w:rPr>
          <w:rFonts w:asciiTheme="majorHAnsi" w:hAnsiTheme="majorHAnsi" w:cstheme="majorHAnsi"/>
          <w:lang w:val="es-CL"/>
        </w:rPr>
        <w:t>en la estructura industrial -</w:t>
      </w:r>
      <w:r w:rsidRPr="002055CD">
        <w:rPr>
          <w:rFonts w:asciiTheme="majorHAnsi" w:hAnsiTheme="majorHAnsi" w:cstheme="majorHAnsi"/>
          <w:lang w:val="es-CL"/>
        </w:rPr>
        <w:t>más servicios, menos manufactura</w:t>
      </w:r>
      <w:r w:rsidR="00A431E5" w:rsidRPr="002055CD">
        <w:rPr>
          <w:rFonts w:asciiTheme="majorHAnsi" w:hAnsiTheme="majorHAnsi" w:cstheme="majorHAnsi"/>
          <w:lang w:val="es-CL"/>
        </w:rPr>
        <w:t xml:space="preserve">- </w:t>
      </w:r>
      <w:r w:rsidRPr="002055CD">
        <w:rPr>
          <w:rFonts w:asciiTheme="majorHAnsi" w:hAnsiTheme="majorHAnsi" w:cstheme="majorHAnsi"/>
          <w:lang w:val="es-CL"/>
        </w:rPr>
        <w:t>pueden sesgar el indicador; además, no distingue entre origen de energía ni tecnologías limpias.</w:t>
      </w:r>
    </w:p>
    <w:p w14:paraId="4EF7A96E" w14:textId="77777777" w:rsidR="00BA7A13" w:rsidRPr="006223A4" w:rsidRDefault="00BA7A13" w:rsidP="006223A4">
      <w:pPr>
        <w:jc w:val="both"/>
        <w:rPr>
          <w:rFonts w:asciiTheme="majorHAnsi" w:hAnsiTheme="majorHAnsi" w:cstheme="majorHAnsi"/>
          <w:i/>
          <w:iCs/>
          <w:lang w:val="es-CL"/>
        </w:rPr>
      </w:pPr>
      <w:r w:rsidRPr="006223A4">
        <w:rPr>
          <w:rFonts w:asciiTheme="majorHAnsi" w:hAnsiTheme="majorHAnsi" w:cstheme="majorHAnsi"/>
          <w:lang w:val="es-CL"/>
        </w:rPr>
        <w:t xml:space="preserve">5. </w:t>
      </w:r>
      <w:r w:rsidRPr="006223A4">
        <w:rPr>
          <w:rFonts w:asciiTheme="majorHAnsi" w:hAnsiTheme="majorHAnsi" w:cstheme="majorHAnsi"/>
          <w:i/>
          <w:iCs/>
          <w:lang w:val="es-CL"/>
        </w:rPr>
        <w:t>Desempeño externo: Exportaciones/VA e Importaciones/CI</w:t>
      </w:r>
    </w:p>
    <w:p w14:paraId="3E9E9CAA" w14:textId="68318E83" w:rsidR="00BA7A13" w:rsidRPr="002055CD" w:rsidRDefault="00BA7A13" w:rsidP="006223A4">
      <w:pPr>
        <w:jc w:val="both"/>
        <w:rPr>
          <w:rFonts w:asciiTheme="majorHAnsi" w:hAnsiTheme="majorHAnsi" w:cstheme="majorHAnsi"/>
          <w:lang w:val="es-CL"/>
        </w:rPr>
      </w:pPr>
      <w:r w:rsidRPr="002055CD">
        <w:rPr>
          <w:rFonts w:asciiTheme="majorHAnsi" w:hAnsiTheme="majorHAnsi" w:cstheme="majorHAnsi"/>
          <w:lang w:val="es-CL"/>
        </w:rPr>
        <w:t>Est</w:t>
      </w:r>
      <w:r w:rsidR="00A431E5" w:rsidRPr="002055CD">
        <w:rPr>
          <w:rFonts w:asciiTheme="majorHAnsi" w:hAnsiTheme="majorHAnsi" w:cstheme="majorHAnsi"/>
          <w:lang w:val="es-CL"/>
        </w:rPr>
        <w:t>o</w:t>
      </w:r>
      <w:r w:rsidRPr="002055CD">
        <w:rPr>
          <w:rFonts w:asciiTheme="majorHAnsi" w:hAnsiTheme="majorHAnsi" w:cstheme="majorHAnsi"/>
          <w:lang w:val="es-CL"/>
        </w:rPr>
        <w:t>s ratios permiten evaluar integración en cadenas globales: Exportaciones/VA mide penetración externa de la industria, Importaciones/CI indica dependencia de insumos externos.</w:t>
      </w:r>
      <w:r w:rsidR="00A431E5" w:rsidRPr="002055CD">
        <w:rPr>
          <w:rFonts w:asciiTheme="majorHAnsi" w:hAnsiTheme="majorHAnsi" w:cstheme="majorHAnsi"/>
          <w:lang w:val="es-CL"/>
        </w:rPr>
        <w:t xml:space="preserve"> </w:t>
      </w:r>
      <w:r w:rsidRPr="002055CD">
        <w:rPr>
          <w:rFonts w:asciiTheme="majorHAnsi" w:hAnsiTheme="majorHAnsi" w:cstheme="majorHAnsi"/>
          <w:lang w:val="es-CL"/>
        </w:rPr>
        <w:t xml:space="preserve">UNIDO promueve análisis del comercio manufacturero como componente clave del desempeño industrial (Competitiveness Index, CIP) </w:t>
      </w:r>
      <w:hyperlink r:id="rId6" w:tgtFrame="_blank" w:history="1">
        <w:r w:rsidRPr="002055CD">
          <w:rPr>
            <w:rFonts w:asciiTheme="majorHAnsi" w:hAnsiTheme="majorHAnsi" w:cstheme="majorHAnsi"/>
            <w:lang w:val="es-CL"/>
          </w:rPr>
          <w:t>NIST Publications+1</w:t>
        </w:r>
      </w:hyperlink>
      <w:r w:rsidRPr="002055CD">
        <w:rPr>
          <w:rFonts w:asciiTheme="majorHAnsi" w:hAnsiTheme="majorHAnsi" w:cstheme="majorHAnsi"/>
          <w:lang w:val="es-CL"/>
        </w:rPr>
        <w:t>.</w:t>
      </w:r>
    </w:p>
    <w:p w14:paraId="3EB731B1" w14:textId="76F5C2CB" w:rsidR="00A431E5" w:rsidRPr="002055CD" w:rsidRDefault="00A431E5" w:rsidP="006223A4">
      <w:pPr>
        <w:jc w:val="both"/>
        <w:rPr>
          <w:rFonts w:asciiTheme="majorHAnsi" w:hAnsiTheme="majorHAnsi" w:cstheme="majorHAnsi"/>
          <w:lang w:val="es-CL"/>
        </w:rPr>
      </w:pPr>
      <w:r w:rsidRPr="002055CD">
        <w:rPr>
          <w:rFonts w:asciiTheme="majorHAnsi" w:hAnsiTheme="majorHAnsi" w:cstheme="majorHAnsi"/>
          <w:b/>
          <w:bCs/>
          <w:lang w:val="es-CL"/>
        </w:rPr>
        <w:t>Problemas</w:t>
      </w:r>
      <w:r w:rsidR="00BA7A13" w:rsidRPr="002055CD">
        <w:rPr>
          <w:rFonts w:asciiTheme="majorHAnsi" w:hAnsiTheme="majorHAnsi" w:cstheme="majorHAnsi"/>
          <w:lang w:val="es-CL"/>
        </w:rPr>
        <w:t>: altos valores no siempre indican productividad interna, sino apertura externa; el contexto político-comercial también influye.</w:t>
      </w:r>
    </w:p>
    <w:p w14:paraId="07B3CE50" w14:textId="5D33C2EE" w:rsidR="00300E42" w:rsidRPr="00300E42" w:rsidRDefault="00300E42" w:rsidP="006223A4">
      <w:pPr>
        <w:jc w:val="both"/>
        <w:rPr>
          <w:rFonts w:asciiTheme="majorHAnsi" w:hAnsiTheme="majorHAnsi" w:cstheme="majorHAnsi"/>
          <w:b/>
          <w:bCs/>
          <w:lang w:val="es-CL"/>
        </w:rPr>
      </w:pPr>
      <w:r w:rsidRPr="00300E42">
        <w:rPr>
          <w:rFonts w:asciiTheme="majorHAnsi" w:hAnsiTheme="majorHAnsi" w:cstheme="majorHAnsi"/>
          <w:b/>
          <w:bCs/>
          <w:lang w:val="es-CL"/>
        </w:rPr>
        <w:t>Tabla 1: Características de los indicadores utilizados para el ICPI</w:t>
      </w:r>
    </w:p>
    <w:p w14:paraId="0125C78D" w14:textId="3F9708CB" w:rsidR="00300E42" w:rsidRPr="002055CD" w:rsidRDefault="00A70DF6" w:rsidP="006223A4">
      <w:pPr>
        <w:jc w:val="both"/>
        <w:rPr>
          <w:rFonts w:asciiTheme="majorHAnsi" w:hAnsiTheme="majorHAnsi" w:cstheme="majorHAnsi"/>
          <w:b/>
          <w:bCs/>
          <w:lang w:val="es-CL"/>
        </w:rPr>
      </w:pPr>
      <w:r>
        <w:rPr>
          <w:rFonts w:asciiTheme="majorHAnsi" w:hAnsiTheme="majorHAnsi" w:cstheme="majorHAnsi"/>
        </w:rPr>
        <w:object w:dxaOrig="11099" w:dyaOrig="5277" w14:anchorId="76807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226.5pt" o:ole="">
            <v:imagedata r:id="rId7" o:title=""/>
          </v:shape>
          <o:OLEObject Type="Embed" ProgID="Excel.Sheet.12" ShapeID="_x0000_i1025" DrawAspect="Content" ObjectID="_1818317040" r:id="rId8"/>
        </w:object>
      </w:r>
      <w:r w:rsidR="00300E42" w:rsidRPr="002055CD">
        <w:rPr>
          <w:rFonts w:asciiTheme="majorHAnsi" w:hAnsiTheme="majorHAnsi" w:cstheme="majorHAnsi"/>
          <w:b/>
          <w:bCs/>
          <w:lang w:val="es-CL"/>
        </w:rPr>
        <w:t>Fuente: confección propia</w:t>
      </w:r>
    </w:p>
    <w:p w14:paraId="14FA1C95" w14:textId="77777777" w:rsidR="00A431E5" w:rsidRPr="00CC357C" w:rsidRDefault="00A431E5" w:rsidP="003F2872">
      <w:pPr>
        <w:pStyle w:val="Ttulo2"/>
        <w:rPr>
          <w:lang w:val="es-CL"/>
        </w:rPr>
      </w:pPr>
      <w:bookmarkStart w:id="3" w:name="_Toc206753338"/>
      <w:r w:rsidRPr="00CC357C">
        <w:rPr>
          <w:lang w:val="es-CL"/>
        </w:rPr>
        <w:lastRenderedPageBreak/>
        <w:t>Tratamiento de la base de datos</w:t>
      </w:r>
      <w:bookmarkEnd w:id="3"/>
    </w:p>
    <w:p w14:paraId="5A274C54" w14:textId="51704F63" w:rsidR="00A431E5" w:rsidRPr="00CC357C" w:rsidRDefault="00A431E5" w:rsidP="006223A4">
      <w:pPr>
        <w:pStyle w:val="NormalWeb"/>
        <w:numPr>
          <w:ilvl w:val="0"/>
          <w:numId w:val="15"/>
        </w:numPr>
        <w:tabs>
          <w:tab w:val="clear" w:pos="720"/>
          <w:tab w:val="num" w:pos="360"/>
        </w:tabs>
        <w:ind w:left="360"/>
        <w:rPr>
          <w:rFonts w:asciiTheme="majorHAnsi" w:hAnsiTheme="majorHAnsi" w:cstheme="majorHAnsi"/>
          <w:sz w:val="22"/>
          <w:szCs w:val="22"/>
        </w:rPr>
      </w:pPr>
      <w:r w:rsidRPr="00CC357C">
        <w:rPr>
          <w:rStyle w:val="Textoennegrita"/>
          <w:rFonts w:asciiTheme="majorHAnsi" w:hAnsiTheme="majorHAnsi" w:cstheme="majorHAnsi"/>
          <w:sz w:val="22"/>
          <w:szCs w:val="22"/>
        </w:rPr>
        <w:t>Unidad de observación</w:t>
      </w:r>
      <w:r w:rsidR="006E2C3C">
        <w:rPr>
          <w:rFonts w:asciiTheme="majorHAnsi" w:hAnsiTheme="majorHAnsi" w:cstheme="majorHAnsi"/>
          <w:sz w:val="22"/>
          <w:szCs w:val="22"/>
        </w:rPr>
        <w:t xml:space="preserve">: </w:t>
      </w:r>
      <w:r w:rsidRPr="00CC357C">
        <w:rPr>
          <w:rFonts w:asciiTheme="majorHAnsi" w:hAnsiTheme="majorHAnsi" w:cstheme="majorHAnsi"/>
          <w:sz w:val="22"/>
          <w:szCs w:val="22"/>
        </w:rPr>
        <w:t>Cada fila de la base corresponde a una combinación única de:</w:t>
      </w:r>
    </w:p>
    <w:p w14:paraId="255A0258" w14:textId="798798D4" w:rsidR="00A431E5" w:rsidRPr="00CC357C" w:rsidRDefault="00A431E5" w:rsidP="006223A4">
      <w:pPr>
        <w:pStyle w:val="NormalWeb"/>
        <w:jc w:val="center"/>
        <w:rPr>
          <w:rFonts w:asciiTheme="majorHAnsi" w:hAnsiTheme="majorHAnsi" w:cstheme="majorHAnsi"/>
          <w:sz w:val="22"/>
          <w:szCs w:val="22"/>
        </w:rPr>
      </w:pPr>
      <w:r w:rsidRPr="00CC357C">
        <w:rPr>
          <w:rFonts w:asciiTheme="majorHAnsi" w:hAnsiTheme="majorHAnsi" w:cstheme="majorHAnsi"/>
          <w:sz w:val="22"/>
          <w:szCs w:val="22"/>
        </w:rPr>
        <w:t>{País, Año, CIIU 2d}</w:t>
      </w:r>
    </w:p>
    <w:p w14:paraId="3E1F007E" w14:textId="77777777" w:rsidR="00A431E5" w:rsidRPr="00CC357C" w:rsidRDefault="00A431E5" w:rsidP="006223A4">
      <w:pPr>
        <w:pStyle w:val="NormalWeb"/>
        <w:ind w:left="360"/>
        <w:jc w:val="both"/>
        <w:rPr>
          <w:rFonts w:asciiTheme="majorHAnsi" w:hAnsiTheme="majorHAnsi" w:cstheme="majorHAnsi"/>
          <w:sz w:val="22"/>
          <w:szCs w:val="22"/>
        </w:rPr>
      </w:pPr>
      <w:r w:rsidRPr="00CC357C">
        <w:rPr>
          <w:rFonts w:asciiTheme="majorHAnsi" w:hAnsiTheme="majorHAnsi" w:cstheme="majorHAnsi"/>
          <w:sz w:val="22"/>
          <w:szCs w:val="22"/>
        </w:rPr>
        <w:t>Esto asegura homogeneidad en el nivel sectorial y facilita comparaciones entre países e industrias.</w:t>
      </w:r>
    </w:p>
    <w:p w14:paraId="4662B88A" w14:textId="77777777" w:rsidR="00A431E5" w:rsidRPr="00CC357C" w:rsidRDefault="00A431E5" w:rsidP="006223A4">
      <w:pPr>
        <w:pStyle w:val="NormalWeb"/>
        <w:numPr>
          <w:ilvl w:val="0"/>
          <w:numId w:val="15"/>
        </w:numPr>
        <w:tabs>
          <w:tab w:val="clear" w:pos="720"/>
          <w:tab w:val="num" w:pos="360"/>
        </w:tabs>
        <w:ind w:left="360"/>
        <w:jc w:val="both"/>
        <w:rPr>
          <w:rFonts w:asciiTheme="majorHAnsi" w:hAnsiTheme="majorHAnsi" w:cstheme="majorHAnsi"/>
          <w:sz w:val="22"/>
          <w:szCs w:val="22"/>
        </w:rPr>
      </w:pPr>
      <w:r w:rsidRPr="00CC357C">
        <w:rPr>
          <w:rStyle w:val="Textoennegrita"/>
          <w:rFonts w:asciiTheme="majorHAnsi" w:hAnsiTheme="majorHAnsi" w:cstheme="majorHAnsi"/>
          <w:sz w:val="22"/>
          <w:szCs w:val="22"/>
        </w:rPr>
        <w:t>Variables monetarias → precios constantes</w:t>
      </w:r>
    </w:p>
    <w:p w14:paraId="544E6D02" w14:textId="1ABABD8C" w:rsidR="00A431E5" w:rsidRPr="00CC357C" w:rsidRDefault="00A431E5" w:rsidP="006223A4">
      <w:pPr>
        <w:pStyle w:val="NormalWeb"/>
        <w:numPr>
          <w:ilvl w:val="0"/>
          <w:numId w:val="17"/>
        </w:numPr>
        <w:ind w:left="360"/>
        <w:jc w:val="both"/>
        <w:rPr>
          <w:rFonts w:asciiTheme="majorHAnsi" w:hAnsiTheme="majorHAnsi" w:cstheme="majorHAnsi"/>
          <w:sz w:val="22"/>
          <w:szCs w:val="22"/>
        </w:rPr>
      </w:pPr>
      <w:r w:rsidRPr="00CC357C">
        <w:rPr>
          <w:rFonts w:asciiTheme="majorHAnsi" w:hAnsiTheme="majorHAnsi" w:cstheme="majorHAnsi"/>
          <w:sz w:val="22"/>
          <w:szCs w:val="22"/>
        </w:rPr>
        <w:t xml:space="preserve">Todas las variables monetarias (VA, CI, remuneraciones, exportaciones, importaciones) se convierten a precios constantes utilizando los </w:t>
      </w:r>
      <w:r w:rsidRPr="00CC357C">
        <w:rPr>
          <w:rStyle w:val="Textoennegrita"/>
          <w:rFonts w:asciiTheme="majorHAnsi" w:hAnsiTheme="majorHAnsi" w:cstheme="majorHAnsi"/>
          <w:b w:val="0"/>
          <w:bCs w:val="0"/>
          <w:sz w:val="22"/>
          <w:szCs w:val="22"/>
        </w:rPr>
        <w:t>deflactores disponibles en CEPAL</w:t>
      </w:r>
      <w:r w:rsidRPr="00CC357C">
        <w:rPr>
          <w:rFonts w:asciiTheme="majorHAnsi" w:hAnsiTheme="majorHAnsi" w:cstheme="majorHAnsi"/>
          <w:sz w:val="22"/>
          <w:szCs w:val="22"/>
        </w:rPr>
        <w:t>.</w:t>
      </w:r>
    </w:p>
    <w:p w14:paraId="273BAD1F" w14:textId="601CE57E" w:rsidR="002055CD" w:rsidRDefault="00A431E5" w:rsidP="002055CD">
      <w:pPr>
        <w:pStyle w:val="NormalWeb"/>
        <w:numPr>
          <w:ilvl w:val="0"/>
          <w:numId w:val="17"/>
        </w:numPr>
        <w:ind w:left="360"/>
        <w:jc w:val="both"/>
        <w:rPr>
          <w:rFonts w:asciiTheme="majorHAnsi" w:hAnsiTheme="majorHAnsi" w:cstheme="majorHAnsi"/>
          <w:sz w:val="22"/>
          <w:szCs w:val="22"/>
        </w:rPr>
      </w:pPr>
      <w:r w:rsidRPr="00CC357C">
        <w:rPr>
          <w:rFonts w:asciiTheme="majorHAnsi" w:hAnsiTheme="majorHAnsi" w:cstheme="majorHAnsi"/>
          <w:sz w:val="22"/>
          <w:szCs w:val="22"/>
        </w:rPr>
        <w:t>De esta manera se eliminan efectos inflacionarios y se asegura comparabilidad intertemporal.</w:t>
      </w:r>
    </w:p>
    <w:p w14:paraId="5530720C" w14:textId="67974953" w:rsidR="002055CD" w:rsidRPr="002055CD" w:rsidRDefault="002055CD" w:rsidP="002055CD">
      <w:pPr>
        <w:pStyle w:val="NormalWeb"/>
        <w:numPr>
          <w:ilvl w:val="0"/>
          <w:numId w:val="17"/>
        </w:numPr>
        <w:ind w:left="360"/>
        <w:jc w:val="both"/>
        <w:rPr>
          <w:rFonts w:asciiTheme="majorHAnsi" w:hAnsiTheme="majorHAnsi" w:cstheme="majorHAnsi"/>
          <w:sz w:val="22"/>
          <w:szCs w:val="22"/>
        </w:rPr>
      </w:pPr>
      <w:r>
        <w:rPr>
          <w:rFonts w:asciiTheme="majorHAnsi" w:hAnsiTheme="majorHAnsi" w:cstheme="majorHAnsi"/>
          <w:sz w:val="22"/>
          <w:szCs w:val="22"/>
        </w:rPr>
        <w:t>Se utilizará la mejor información disponible. En el caso de que los deflactores no estén lo suficientemente desagregados, se utilizará la mejor información disponible; en este caso, se deflactará a nivel de letra.</w:t>
      </w:r>
    </w:p>
    <w:p w14:paraId="3AC926BF" w14:textId="77777777" w:rsidR="00A431E5" w:rsidRPr="00300E42" w:rsidRDefault="00A431E5" w:rsidP="006223A4">
      <w:pPr>
        <w:pStyle w:val="NormalWeb"/>
        <w:numPr>
          <w:ilvl w:val="0"/>
          <w:numId w:val="15"/>
        </w:numPr>
        <w:tabs>
          <w:tab w:val="clear" w:pos="720"/>
          <w:tab w:val="num" w:pos="360"/>
        </w:tabs>
        <w:ind w:left="360"/>
        <w:jc w:val="both"/>
        <w:rPr>
          <w:rFonts w:asciiTheme="majorHAnsi" w:hAnsiTheme="majorHAnsi" w:cstheme="majorHAnsi"/>
          <w:sz w:val="22"/>
          <w:szCs w:val="22"/>
          <w:highlight w:val="yellow"/>
        </w:rPr>
      </w:pPr>
      <w:r w:rsidRPr="00300E42">
        <w:rPr>
          <w:rStyle w:val="Textoennegrita"/>
          <w:rFonts w:asciiTheme="majorHAnsi" w:hAnsiTheme="majorHAnsi" w:cstheme="majorHAnsi"/>
          <w:sz w:val="22"/>
          <w:szCs w:val="22"/>
          <w:highlight w:val="yellow"/>
        </w:rPr>
        <w:t>Conversión a moneda común mediante PPP</w:t>
      </w:r>
    </w:p>
    <w:p w14:paraId="51E03A30" w14:textId="482A0665" w:rsidR="00A431E5" w:rsidRPr="00300E42" w:rsidRDefault="00A431E5" w:rsidP="006223A4">
      <w:pPr>
        <w:pStyle w:val="NormalWeb"/>
        <w:numPr>
          <w:ilvl w:val="0"/>
          <w:numId w:val="18"/>
        </w:numPr>
        <w:ind w:left="360"/>
        <w:jc w:val="both"/>
        <w:rPr>
          <w:rFonts w:asciiTheme="majorHAnsi" w:hAnsiTheme="majorHAnsi" w:cstheme="majorHAnsi"/>
          <w:sz w:val="22"/>
          <w:szCs w:val="22"/>
          <w:highlight w:val="yellow"/>
        </w:rPr>
      </w:pPr>
      <w:r w:rsidRPr="00300E42">
        <w:rPr>
          <w:rFonts w:asciiTheme="majorHAnsi" w:hAnsiTheme="majorHAnsi" w:cstheme="majorHAnsi"/>
          <w:sz w:val="22"/>
          <w:szCs w:val="22"/>
          <w:highlight w:val="yellow"/>
        </w:rPr>
        <w:t xml:space="preserve">Una vez deflactados, los valores constantes se expresan en una moneda común internacional ajustando por </w:t>
      </w:r>
      <w:r w:rsidR="00B01732" w:rsidRPr="00300E42">
        <w:rPr>
          <w:rStyle w:val="Textoennegrita"/>
          <w:rFonts w:asciiTheme="majorHAnsi" w:hAnsiTheme="majorHAnsi" w:cstheme="majorHAnsi"/>
          <w:b w:val="0"/>
          <w:bCs w:val="0"/>
          <w:sz w:val="22"/>
          <w:szCs w:val="22"/>
          <w:highlight w:val="yellow"/>
        </w:rPr>
        <w:t>p</w:t>
      </w:r>
      <w:r w:rsidRPr="00300E42">
        <w:rPr>
          <w:rStyle w:val="Textoennegrita"/>
          <w:rFonts w:asciiTheme="majorHAnsi" w:hAnsiTheme="majorHAnsi" w:cstheme="majorHAnsi"/>
          <w:b w:val="0"/>
          <w:bCs w:val="0"/>
          <w:sz w:val="22"/>
          <w:szCs w:val="22"/>
          <w:highlight w:val="yellow"/>
        </w:rPr>
        <w:t xml:space="preserve">aridad de </w:t>
      </w:r>
      <w:r w:rsidR="00B01732" w:rsidRPr="00300E42">
        <w:rPr>
          <w:rStyle w:val="Textoennegrita"/>
          <w:rFonts w:asciiTheme="majorHAnsi" w:hAnsiTheme="majorHAnsi" w:cstheme="majorHAnsi"/>
          <w:b w:val="0"/>
          <w:bCs w:val="0"/>
          <w:sz w:val="22"/>
          <w:szCs w:val="22"/>
          <w:highlight w:val="yellow"/>
        </w:rPr>
        <w:t>p</w:t>
      </w:r>
      <w:r w:rsidRPr="00300E42">
        <w:rPr>
          <w:rStyle w:val="Textoennegrita"/>
          <w:rFonts w:asciiTheme="majorHAnsi" w:hAnsiTheme="majorHAnsi" w:cstheme="majorHAnsi"/>
          <w:b w:val="0"/>
          <w:bCs w:val="0"/>
          <w:sz w:val="22"/>
          <w:szCs w:val="22"/>
          <w:highlight w:val="yellow"/>
        </w:rPr>
        <w:t xml:space="preserve">oder </w:t>
      </w:r>
      <w:r w:rsidR="00B01732" w:rsidRPr="00300E42">
        <w:rPr>
          <w:rStyle w:val="Textoennegrita"/>
          <w:rFonts w:asciiTheme="majorHAnsi" w:hAnsiTheme="majorHAnsi" w:cstheme="majorHAnsi"/>
          <w:b w:val="0"/>
          <w:bCs w:val="0"/>
          <w:sz w:val="22"/>
          <w:szCs w:val="22"/>
          <w:highlight w:val="yellow"/>
        </w:rPr>
        <w:t>a</w:t>
      </w:r>
      <w:r w:rsidRPr="00300E42">
        <w:rPr>
          <w:rStyle w:val="Textoennegrita"/>
          <w:rFonts w:asciiTheme="majorHAnsi" w:hAnsiTheme="majorHAnsi" w:cstheme="majorHAnsi"/>
          <w:b w:val="0"/>
          <w:bCs w:val="0"/>
          <w:sz w:val="22"/>
          <w:szCs w:val="22"/>
          <w:highlight w:val="yellow"/>
        </w:rPr>
        <w:t>dquisitivo (PPP)</w:t>
      </w:r>
      <w:r w:rsidRPr="00300E42">
        <w:rPr>
          <w:rFonts w:asciiTheme="majorHAnsi" w:hAnsiTheme="majorHAnsi" w:cstheme="majorHAnsi"/>
          <w:b/>
          <w:bCs/>
          <w:sz w:val="22"/>
          <w:szCs w:val="22"/>
          <w:highlight w:val="yellow"/>
        </w:rPr>
        <w:t>.</w:t>
      </w:r>
    </w:p>
    <w:p w14:paraId="2225243F" w14:textId="77777777" w:rsidR="00A431E5" w:rsidRPr="00300E42" w:rsidRDefault="00A431E5" w:rsidP="006223A4">
      <w:pPr>
        <w:pStyle w:val="NormalWeb"/>
        <w:numPr>
          <w:ilvl w:val="0"/>
          <w:numId w:val="18"/>
        </w:numPr>
        <w:ind w:left="360"/>
        <w:jc w:val="both"/>
        <w:rPr>
          <w:rFonts w:asciiTheme="majorHAnsi" w:hAnsiTheme="majorHAnsi" w:cstheme="majorHAnsi"/>
          <w:sz w:val="22"/>
          <w:szCs w:val="22"/>
          <w:highlight w:val="yellow"/>
        </w:rPr>
      </w:pPr>
      <w:r w:rsidRPr="00300E42">
        <w:rPr>
          <w:rFonts w:asciiTheme="majorHAnsi" w:hAnsiTheme="majorHAnsi" w:cstheme="majorHAnsi"/>
          <w:sz w:val="22"/>
          <w:szCs w:val="22"/>
          <w:highlight w:val="yellow"/>
        </w:rPr>
        <w:t>Esto corrige diferencias en niveles de precios entre países y permite comparaciones internacionales consistentes.</w:t>
      </w:r>
    </w:p>
    <w:p w14:paraId="62364F3A" w14:textId="77777777" w:rsidR="00A431E5" w:rsidRPr="00CC357C" w:rsidRDefault="00A431E5" w:rsidP="006223A4">
      <w:pPr>
        <w:pStyle w:val="NormalWeb"/>
        <w:numPr>
          <w:ilvl w:val="0"/>
          <w:numId w:val="15"/>
        </w:numPr>
        <w:tabs>
          <w:tab w:val="clear" w:pos="720"/>
          <w:tab w:val="num" w:pos="360"/>
        </w:tabs>
        <w:ind w:left="360"/>
        <w:jc w:val="both"/>
        <w:rPr>
          <w:rFonts w:asciiTheme="majorHAnsi" w:hAnsiTheme="majorHAnsi" w:cstheme="majorHAnsi"/>
          <w:sz w:val="22"/>
          <w:szCs w:val="22"/>
        </w:rPr>
      </w:pPr>
      <w:r w:rsidRPr="00CC357C">
        <w:rPr>
          <w:rStyle w:val="Textoennegrita"/>
          <w:rFonts w:asciiTheme="majorHAnsi" w:hAnsiTheme="majorHAnsi" w:cstheme="majorHAnsi"/>
          <w:sz w:val="22"/>
          <w:szCs w:val="22"/>
        </w:rPr>
        <w:t>Tratamiento de valores faltantes</w:t>
      </w:r>
    </w:p>
    <w:p w14:paraId="588A5104" w14:textId="13CF38DB" w:rsidR="00A431E5" w:rsidRPr="00CC357C" w:rsidRDefault="00A431E5" w:rsidP="006223A4">
      <w:pPr>
        <w:pStyle w:val="NormalWeb"/>
        <w:numPr>
          <w:ilvl w:val="0"/>
          <w:numId w:val="20"/>
        </w:numPr>
        <w:ind w:left="360"/>
        <w:jc w:val="both"/>
        <w:rPr>
          <w:rFonts w:asciiTheme="majorHAnsi" w:hAnsiTheme="majorHAnsi" w:cstheme="majorHAnsi"/>
          <w:sz w:val="22"/>
          <w:szCs w:val="22"/>
        </w:rPr>
      </w:pPr>
      <w:r w:rsidRPr="00CC357C">
        <w:rPr>
          <w:rFonts w:asciiTheme="majorHAnsi" w:hAnsiTheme="majorHAnsi" w:cstheme="majorHAnsi"/>
          <w:sz w:val="22"/>
          <w:szCs w:val="22"/>
        </w:rPr>
        <w:t>Dado que no todos los países reportan todas las variables, se</w:t>
      </w:r>
      <w:r w:rsidR="00B01732" w:rsidRPr="00CC357C">
        <w:rPr>
          <w:rFonts w:asciiTheme="majorHAnsi" w:hAnsiTheme="majorHAnsi" w:cstheme="majorHAnsi"/>
          <w:sz w:val="22"/>
          <w:szCs w:val="22"/>
        </w:rPr>
        <w:t xml:space="preserve"> pueden</w:t>
      </w:r>
      <w:r w:rsidRPr="00CC357C">
        <w:rPr>
          <w:rFonts w:asciiTheme="majorHAnsi" w:hAnsiTheme="majorHAnsi" w:cstheme="majorHAnsi"/>
          <w:sz w:val="22"/>
          <w:szCs w:val="22"/>
        </w:rPr>
        <w:t xml:space="preserve"> aplica</w:t>
      </w:r>
      <w:r w:rsidR="00B01732" w:rsidRPr="00CC357C">
        <w:rPr>
          <w:rFonts w:asciiTheme="majorHAnsi" w:hAnsiTheme="majorHAnsi" w:cstheme="majorHAnsi"/>
          <w:sz w:val="22"/>
          <w:szCs w:val="22"/>
        </w:rPr>
        <w:t>r</w:t>
      </w:r>
      <w:r w:rsidRPr="00CC357C">
        <w:rPr>
          <w:rFonts w:asciiTheme="majorHAnsi" w:hAnsiTheme="majorHAnsi" w:cstheme="majorHAnsi"/>
          <w:sz w:val="22"/>
          <w:szCs w:val="22"/>
        </w:rPr>
        <w:t xml:space="preserve"> dos estrategia:</w:t>
      </w:r>
    </w:p>
    <w:p w14:paraId="2C6E07BC" w14:textId="77777777" w:rsidR="005460F5" w:rsidRDefault="005460F5" w:rsidP="005460F5">
      <w:pPr>
        <w:pStyle w:val="NormalWeb"/>
        <w:jc w:val="both"/>
        <w:rPr>
          <w:rStyle w:val="Textoennegrita"/>
          <w:rFonts w:asciiTheme="majorHAnsi" w:hAnsiTheme="majorHAnsi" w:cstheme="majorHAnsi"/>
          <w:b w:val="0"/>
          <w:bCs w:val="0"/>
          <w:sz w:val="22"/>
          <w:szCs w:val="22"/>
        </w:rPr>
      </w:pPr>
      <w:r w:rsidRPr="005460F5">
        <w:rPr>
          <w:rStyle w:val="Textoennegrita"/>
          <w:rFonts w:asciiTheme="majorHAnsi" w:hAnsiTheme="majorHAnsi" w:cstheme="majorHAnsi"/>
          <w:b w:val="0"/>
          <w:bCs w:val="0"/>
          <w:sz w:val="22"/>
          <w:szCs w:val="22"/>
        </w:rPr>
        <w:t xml:space="preserve">El manejo de valores faltantes es un aspecto crítico para garantizar la robustez del índice. En este estudio se aplica un criterio mixto: </w:t>
      </w:r>
    </w:p>
    <w:p w14:paraId="0BAA1EAB" w14:textId="77777777" w:rsidR="003E1A05" w:rsidRDefault="005460F5" w:rsidP="005460F5">
      <w:pPr>
        <w:pStyle w:val="NormalWeb"/>
        <w:numPr>
          <w:ilvl w:val="0"/>
          <w:numId w:val="20"/>
        </w:numPr>
        <w:jc w:val="both"/>
        <w:rPr>
          <w:rStyle w:val="Textoennegrita"/>
          <w:rFonts w:asciiTheme="majorHAnsi" w:hAnsiTheme="majorHAnsi" w:cstheme="majorHAnsi"/>
          <w:b w:val="0"/>
          <w:bCs w:val="0"/>
          <w:sz w:val="22"/>
          <w:szCs w:val="22"/>
        </w:rPr>
      </w:pPr>
      <w:r w:rsidRPr="005460F5">
        <w:rPr>
          <w:rStyle w:val="Textoennegrita"/>
          <w:rFonts w:asciiTheme="majorHAnsi" w:hAnsiTheme="majorHAnsi" w:cstheme="majorHAnsi"/>
          <w:b w:val="0"/>
          <w:bCs w:val="0"/>
          <w:sz w:val="22"/>
          <w:szCs w:val="22"/>
        </w:rPr>
        <w:t xml:space="preserve">se permite la interpolación o extrapolación de series únicamente dentro de un rango de ±1 año, lo que minimiza el riesgo de introducir sesgos artificiales en las tendencias. Cuando la información faltante es más extensa o discontinua, la observación se elimina del análisis. </w:t>
      </w:r>
    </w:p>
    <w:p w14:paraId="4E3E500B" w14:textId="77777777" w:rsidR="003E1A05" w:rsidRDefault="005460F5" w:rsidP="005460F5">
      <w:pPr>
        <w:pStyle w:val="NormalWeb"/>
        <w:numPr>
          <w:ilvl w:val="0"/>
          <w:numId w:val="20"/>
        </w:numPr>
        <w:jc w:val="both"/>
        <w:rPr>
          <w:rStyle w:val="Textoennegrita"/>
          <w:rFonts w:asciiTheme="majorHAnsi" w:hAnsiTheme="majorHAnsi" w:cstheme="majorHAnsi"/>
          <w:b w:val="0"/>
          <w:bCs w:val="0"/>
          <w:sz w:val="22"/>
          <w:szCs w:val="22"/>
        </w:rPr>
      </w:pPr>
      <w:r w:rsidRPr="005460F5">
        <w:rPr>
          <w:rStyle w:val="Textoennegrita"/>
          <w:rFonts w:asciiTheme="majorHAnsi" w:hAnsiTheme="majorHAnsi" w:cstheme="majorHAnsi"/>
          <w:b w:val="0"/>
          <w:bCs w:val="0"/>
          <w:sz w:val="22"/>
          <w:szCs w:val="22"/>
        </w:rPr>
        <w:t xml:space="preserve">En variables laborales, como ocupados y horas trabajadas, la práctica seguida por organismos internacionales como la ILO y la UNIDO justifica la sustitución parcial: si no se dispone de horas trabajadas, puede utilizarse el número de ocupados como proxy de esfuerzo laboral, y en los casos donde ambas medidas están disponibles, se aplica un promedio ponderado para mejorar la representatividad. </w:t>
      </w:r>
    </w:p>
    <w:p w14:paraId="5816E4EB" w14:textId="18674E94" w:rsidR="005460F5" w:rsidRPr="005460F5" w:rsidRDefault="005460F5" w:rsidP="003E1A05">
      <w:pPr>
        <w:pStyle w:val="NormalWeb"/>
        <w:jc w:val="both"/>
        <w:rPr>
          <w:rStyle w:val="Textoennegrita"/>
          <w:rFonts w:asciiTheme="majorHAnsi" w:hAnsiTheme="majorHAnsi" w:cstheme="majorHAnsi"/>
          <w:b w:val="0"/>
          <w:bCs w:val="0"/>
          <w:sz w:val="22"/>
          <w:szCs w:val="22"/>
        </w:rPr>
      </w:pPr>
      <w:r w:rsidRPr="005460F5">
        <w:rPr>
          <w:rStyle w:val="Textoennegrita"/>
          <w:rFonts w:asciiTheme="majorHAnsi" w:hAnsiTheme="majorHAnsi" w:cstheme="majorHAnsi"/>
          <w:b w:val="0"/>
          <w:bCs w:val="0"/>
          <w:sz w:val="22"/>
          <w:szCs w:val="22"/>
        </w:rPr>
        <w:t>Este criterio reconoce las limitaciones de disponibilidad estadística en la región, pero asegura mantener un mínimo de comparabilidad entre países.</w:t>
      </w:r>
    </w:p>
    <w:p w14:paraId="4D4D5CDB" w14:textId="77777777" w:rsidR="00A431E5" w:rsidRPr="00CC357C" w:rsidRDefault="00A431E5" w:rsidP="006223A4">
      <w:pPr>
        <w:pStyle w:val="NormalWeb"/>
        <w:numPr>
          <w:ilvl w:val="0"/>
          <w:numId w:val="15"/>
        </w:numPr>
        <w:tabs>
          <w:tab w:val="clear" w:pos="720"/>
          <w:tab w:val="num" w:pos="360"/>
        </w:tabs>
        <w:ind w:left="360"/>
        <w:jc w:val="both"/>
        <w:rPr>
          <w:rFonts w:asciiTheme="majorHAnsi" w:hAnsiTheme="majorHAnsi" w:cstheme="majorHAnsi"/>
          <w:sz w:val="22"/>
          <w:szCs w:val="22"/>
        </w:rPr>
      </w:pPr>
      <w:r w:rsidRPr="00CC357C">
        <w:rPr>
          <w:rStyle w:val="Textoennegrita"/>
          <w:rFonts w:asciiTheme="majorHAnsi" w:hAnsiTheme="majorHAnsi" w:cstheme="majorHAnsi"/>
          <w:sz w:val="22"/>
          <w:szCs w:val="22"/>
        </w:rPr>
        <w:t>Base fija y cálculo de pesos</w:t>
      </w:r>
    </w:p>
    <w:p w14:paraId="2BF02004" w14:textId="77777777" w:rsidR="00A431E5" w:rsidRPr="00CC357C" w:rsidRDefault="00A431E5" w:rsidP="006223A4">
      <w:pPr>
        <w:pStyle w:val="NormalWeb"/>
        <w:numPr>
          <w:ilvl w:val="0"/>
          <w:numId w:val="21"/>
        </w:numPr>
        <w:tabs>
          <w:tab w:val="clear" w:pos="720"/>
          <w:tab w:val="num" w:pos="360"/>
        </w:tabs>
        <w:ind w:left="360"/>
        <w:jc w:val="both"/>
        <w:rPr>
          <w:rFonts w:asciiTheme="majorHAnsi" w:hAnsiTheme="majorHAnsi" w:cstheme="majorHAnsi"/>
          <w:sz w:val="22"/>
          <w:szCs w:val="22"/>
        </w:rPr>
      </w:pPr>
      <w:r w:rsidRPr="00CC357C">
        <w:rPr>
          <w:rFonts w:asciiTheme="majorHAnsi" w:hAnsiTheme="majorHAnsi" w:cstheme="majorHAnsi"/>
          <w:sz w:val="22"/>
          <w:szCs w:val="22"/>
        </w:rPr>
        <w:lastRenderedPageBreak/>
        <w:t xml:space="preserve">El concepto de </w:t>
      </w:r>
      <w:r w:rsidRPr="00CC357C">
        <w:rPr>
          <w:rStyle w:val="Textoennegrita"/>
          <w:rFonts w:asciiTheme="majorHAnsi" w:hAnsiTheme="majorHAnsi" w:cstheme="majorHAnsi"/>
          <w:sz w:val="22"/>
          <w:szCs w:val="22"/>
        </w:rPr>
        <w:t>base fija</w:t>
      </w:r>
      <w:r w:rsidRPr="00CC357C">
        <w:rPr>
          <w:rFonts w:asciiTheme="majorHAnsi" w:hAnsiTheme="majorHAnsi" w:cstheme="majorHAnsi"/>
          <w:sz w:val="22"/>
          <w:szCs w:val="22"/>
        </w:rPr>
        <w:t xml:space="preserve"> aplica únicamente al cálculo de los </w:t>
      </w:r>
      <w:r w:rsidRPr="00CC357C">
        <w:rPr>
          <w:rStyle w:val="Textoennegrita"/>
          <w:rFonts w:asciiTheme="majorHAnsi" w:hAnsiTheme="majorHAnsi" w:cstheme="majorHAnsi"/>
          <w:sz w:val="22"/>
          <w:szCs w:val="22"/>
        </w:rPr>
        <w:t>pesos de agregación del índice compuesto</w:t>
      </w:r>
      <w:r w:rsidRPr="00CC357C">
        <w:rPr>
          <w:rFonts w:asciiTheme="majorHAnsi" w:hAnsiTheme="majorHAnsi" w:cstheme="majorHAnsi"/>
          <w:sz w:val="22"/>
          <w:szCs w:val="22"/>
        </w:rPr>
        <w:t>.</w:t>
      </w:r>
    </w:p>
    <w:p w14:paraId="3609147E" w14:textId="77777777" w:rsidR="00A431E5" w:rsidRPr="00CC357C" w:rsidRDefault="00A431E5" w:rsidP="006223A4">
      <w:pPr>
        <w:pStyle w:val="NormalWeb"/>
        <w:numPr>
          <w:ilvl w:val="0"/>
          <w:numId w:val="21"/>
        </w:numPr>
        <w:tabs>
          <w:tab w:val="clear" w:pos="720"/>
          <w:tab w:val="num" w:pos="360"/>
        </w:tabs>
        <w:ind w:left="360"/>
        <w:jc w:val="both"/>
        <w:rPr>
          <w:rFonts w:asciiTheme="majorHAnsi" w:hAnsiTheme="majorHAnsi" w:cstheme="majorHAnsi"/>
          <w:sz w:val="22"/>
          <w:szCs w:val="22"/>
        </w:rPr>
      </w:pPr>
      <w:r w:rsidRPr="00CC357C">
        <w:rPr>
          <w:rFonts w:asciiTheme="majorHAnsi" w:hAnsiTheme="majorHAnsi" w:cstheme="majorHAnsi"/>
          <w:sz w:val="22"/>
          <w:szCs w:val="22"/>
        </w:rPr>
        <w:t>Se definen con un subconjunto temporal (ej. 2018–2019 y 2022) y se aplican de forma consistente a toda la serie.</w:t>
      </w:r>
    </w:p>
    <w:p w14:paraId="1563F3DA" w14:textId="77777777" w:rsidR="00A431E5" w:rsidRPr="00CC357C" w:rsidRDefault="00A431E5" w:rsidP="006223A4">
      <w:pPr>
        <w:pStyle w:val="NormalWeb"/>
        <w:numPr>
          <w:ilvl w:val="0"/>
          <w:numId w:val="21"/>
        </w:numPr>
        <w:tabs>
          <w:tab w:val="clear" w:pos="720"/>
          <w:tab w:val="num" w:pos="360"/>
        </w:tabs>
        <w:ind w:left="360"/>
        <w:jc w:val="both"/>
        <w:rPr>
          <w:rFonts w:asciiTheme="majorHAnsi" w:hAnsiTheme="majorHAnsi" w:cstheme="majorHAnsi"/>
          <w:sz w:val="22"/>
          <w:szCs w:val="22"/>
        </w:rPr>
      </w:pPr>
      <w:r w:rsidRPr="00CC357C">
        <w:rPr>
          <w:rFonts w:asciiTheme="majorHAnsi" w:hAnsiTheme="majorHAnsi" w:cstheme="majorHAnsi"/>
          <w:sz w:val="22"/>
          <w:szCs w:val="22"/>
        </w:rPr>
        <w:t>Esto evita que cambios coyunturales (como la pandemia) distorsionen los resultados.</w:t>
      </w:r>
    </w:p>
    <w:p w14:paraId="011BB03D" w14:textId="51430CF7" w:rsidR="003E1A05" w:rsidRPr="003E1A05" w:rsidRDefault="00A431E5" w:rsidP="003E1A05">
      <w:pPr>
        <w:pStyle w:val="NormalWeb"/>
        <w:numPr>
          <w:ilvl w:val="0"/>
          <w:numId w:val="21"/>
        </w:numPr>
        <w:tabs>
          <w:tab w:val="clear" w:pos="720"/>
          <w:tab w:val="num" w:pos="360"/>
        </w:tabs>
        <w:ind w:left="360"/>
        <w:jc w:val="both"/>
        <w:rPr>
          <w:rFonts w:asciiTheme="majorHAnsi" w:hAnsiTheme="majorHAnsi" w:cstheme="majorHAnsi"/>
          <w:sz w:val="22"/>
          <w:szCs w:val="22"/>
        </w:rPr>
      </w:pPr>
      <w:r w:rsidRPr="00CC357C">
        <w:rPr>
          <w:rFonts w:asciiTheme="majorHAnsi" w:hAnsiTheme="majorHAnsi" w:cstheme="majorHAnsi"/>
          <w:sz w:val="22"/>
          <w:szCs w:val="22"/>
        </w:rPr>
        <w:t xml:space="preserve">Importante: </w:t>
      </w:r>
      <w:r w:rsidRPr="00CC357C">
        <w:rPr>
          <w:rStyle w:val="Textoennegrita"/>
          <w:rFonts w:asciiTheme="majorHAnsi" w:hAnsiTheme="majorHAnsi" w:cstheme="majorHAnsi"/>
          <w:sz w:val="22"/>
          <w:szCs w:val="22"/>
        </w:rPr>
        <w:t>la base fija no afecta el deflactado</w:t>
      </w:r>
      <w:r w:rsidRPr="00CC357C">
        <w:rPr>
          <w:rFonts w:asciiTheme="majorHAnsi" w:hAnsiTheme="majorHAnsi" w:cstheme="majorHAnsi"/>
          <w:sz w:val="22"/>
          <w:szCs w:val="22"/>
        </w:rPr>
        <w:t xml:space="preserve"> de las variables monetarias, que se hace con deflactores anuales correspondientes.</w:t>
      </w:r>
    </w:p>
    <w:p w14:paraId="31EE8AD4" w14:textId="78B4B250" w:rsidR="00542128" w:rsidRPr="00CC357C" w:rsidRDefault="00000000" w:rsidP="003F2872">
      <w:pPr>
        <w:pStyle w:val="Ttulo2"/>
        <w:rPr>
          <w:lang w:val="es-CL"/>
        </w:rPr>
      </w:pPr>
      <w:bookmarkStart w:id="4" w:name="_Toc206753339"/>
      <w:r w:rsidRPr="00CC357C">
        <w:rPr>
          <w:lang w:val="es-CL"/>
        </w:rPr>
        <w:t>Construcción del índice</w:t>
      </w:r>
      <w:bookmarkEnd w:id="4"/>
    </w:p>
    <w:p w14:paraId="151E0AF2" w14:textId="77777777" w:rsidR="0099703D" w:rsidRPr="00CC357C" w:rsidRDefault="0099703D" w:rsidP="006223A4">
      <w:pPr>
        <w:spacing w:line="240" w:lineRule="auto"/>
        <w:jc w:val="both"/>
        <w:rPr>
          <w:rFonts w:asciiTheme="majorHAnsi" w:hAnsiTheme="majorHAnsi" w:cstheme="majorHAnsi"/>
          <w:lang w:val="es-CL"/>
        </w:rPr>
      </w:pPr>
    </w:p>
    <w:p w14:paraId="59BAE782" w14:textId="48197EB0" w:rsidR="00B01732" w:rsidRPr="00CC357C" w:rsidRDefault="00B01732" w:rsidP="006223A4">
      <w:pPr>
        <w:spacing w:line="240" w:lineRule="auto"/>
        <w:jc w:val="both"/>
        <w:rPr>
          <w:rFonts w:asciiTheme="majorHAnsi" w:hAnsiTheme="majorHAnsi" w:cstheme="majorHAnsi"/>
          <w:u w:val="single"/>
          <w:lang w:val="es-CL"/>
        </w:rPr>
      </w:pPr>
      <w:r w:rsidRPr="00CC357C">
        <w:rPr>
          <w:rFonts w:asciiTheme="majorHAnsi" w:hAnsiTheme="majorHAnsi" w:cstheme="majorHAnsi"/>
          <w:u w:val="single"/>
          <w:lang w:val="es-CL"/>
        </w:rPr>
        <w:t>Normalización de variables (z-scores)</w:t>
      </w:r>
    </w:p>
    <w:p w14:paraId="77D6CA69" w14:textId="77777777" w:rsidR="0099703D" w:rsidRPr="00CC357C" w:rsidRDefault="00B01732" w:rsidP="006223A4">
      <w:pPr>
        <w:pStyle w:val="NormalWeb"/>
        <w:jc w:val="both"/>
        <w:rPr>
          <w:rFonts w:asciiTheme="majorHAnsi" w:hAnsiTheme="majorHAnsi" w:cstheme="majorHAnsi"/>
          <w:sz w:val="22"/>
          <w:szCs w:val="22"/>
        </w:rPr>
      </w:pPr>
      <w:r w:rsidRPr="00CC357C">
        <w:rPr>
          <w:rFonts w:asciiTheme="majorHAnsi" w:hAnsiTheme="majorHAnsi" w:cstheme="majorHAnsi"/>
          <w:sz w:val="22"/>
          <w:szCs w:val="22"/>
        </w:rPr>
        <w:t>Cada uno de los ratios seleccionados (VA/Ocupados, CI/VA, Electricidad/VA, etc.) se estandariza</w:t>
      </w:r>
      <w:r w:rsidR="0099703D" w:rsidRPr="00CC357C">
        <w:rPr>
          <w:rFonts w:asciiTheme="majorHAnsi" w:hAnsiTheme="majorHAnsi" w:cstheme="majorHAnsi"/>
          <w:sz w:val="22"/>
          <w:szCs w:val="22"/>
        </w:rPr>
        <w:t xml:space="preserve"> de la siguiente manera</w:t>
      </w:r>
      <w:r w:rsidRPr="00CC357C">
        <w:rPr>
          <w:rFonts w:asciiTheme="majorHAnsi" w:hAnsiTheme="majorHAnsi" w:cstheme="majorHAnsi"/>
          <w:sz w:val="22"/>
          <w:szCs w:val="22"/>
        </w:rPr>
        <w:t>:</w:t>
      </w:r>
    </w:p>
    <w:p w14:paraId="72505CFC" w14:textId="309595CF" w:rsidR="00B01732" w:rsidRPr="00CC357C" w:rsidRDefault="00000000" w:rsidP="006223A4">
      <w:pPr>
        <w:pStyle w:val="NormalWeb"/>
        <w:jc w:val="both"/>
        <w:rPr>
          <w:rFonts w:asciiTheme="majorHAnsi" w:hAnsiTheme="majorHAnsi" w:cstheme="majorHAnsi"/>
          <w:sz w:val="22"/>
          <w:szCs w:val="22"/>
        </w:rPr>
      </w:pPr>
      <m:oMathPara>
        <m:oMath>
          <m:sSub>
            <m:sSubPr>
              <m:ctrlPr>
                <w:rPr>
                  <w:rFonts w:ascii="Cambria Math" w:hAnsi="Cambria Math" w:cstheme="majorHAnsi"/>
                  <w:i/>
                  <w:sz w:val="22"/>
                  <w:szCs w:val="22"/>
                </w:rPr>
              </m:ctrlPr>
            </m:sSubPr>
            <m:e>
              <m:r>
                <w:rPr>
                  <w:rFonts w:ascii="Cambria Math" w:hAnsi="Cambria Math" w:cstheme="majorHAnsi"/>
                  <w:sz w:val="22"/>
                  <w:szCs w:val="22"/>
                </w:rPr>
                <m:t>Z</m:t>
              </m:r>
            </m:e>
            <m:sub>
              <m:r>
                <w:rPr>
                  <w:rFonts w:ascii="Cambria Math" w:hAnsi="Cambria Math" w:cstheme="majorHAnsi"/>
                  <w:sz w:val="22"/>
                  <w:szCs w:val="22"/>
                </w:rPr>
                <m:t>i</m:t>
              </m:r>
            </m:sub>
          </m:sSub>
          <m:r>
            <w:rPr>
              <w:rFonts w:ascii="Cambria Math" w:hAnsi="Cambria Math" w:cstheme="majorHAnsi"/>
              <w:sz w:val="22"/>
              <w:szCs w:val="22"/>
            </w:rPr>
            <m:t>=</m:t>
          </m:r>
          <m:f>
            <m:fPr>
              <m:ctrlPr>
                <w:rPr>
                  <w:rFonts w:ascii="Cambria Math" w:hAnsi="Cambria Math" w:cstheme="majorHAnsi"/>
                  <w:i/>
                  <w:sz w:val="22"/>
                  <w:szCs w:val="22"/>
                </w:rPr>
              </m:ctrlPr>
            </m:fPr>
            <m:num>
              <m:sSub>
                <m:sSubPr>
                  <m:ctrlPr>
                    <w:rPr>
                      <w:rFonts w:ascii="Cambria Math" w:hAnsi="Cambria Math" w:cstheme="majorHAnsi"/>
                      <w:i/>
                      <w:sz w:val="22"/>
                      <w:szCs w:val="22"/>
                    </w:rPr>
                  </m:ctrlPr>
                </m:sSubPr>
                <m:e>
                  <m:r>
                    <w:rPr>
                      <w:rFonts w:ascii="Cambria Math" w:hAnsi="Cambria Math" w:cstheme="majorHAnsi"/>
                      <w:sz w:val="22"/>
                      <w:szCs w:val="22"/>
                    </w:rPr>
                    <m:t>X</m:t>
                  </m:r>
                </m:e>
                <m:sub>
                  <m:r>
                    <w:rPr>
                      <w:rFonts w:ascii="Cambria Math" w:hAnsi="Cambria Math" w:cstheme="majorHAnsi"/>
                      <w:sz w:val="22"/>
                      <w:szCs w:val="22"/>
                    </w:rPr>
                    <m:t>i</m:t>
                  </m:r>
                </m:sub>
              </m:sSub>
              <m:r>
                <w:rPr>
                  <w:rFonts w:ascii="Cambria Math" w:hAnsi="Cambria Math" w:cstheme="majorHAnsi"/>
                  <w:sz w:val="22"/>
                  <w:szCs w:val="22"/>
                </w:rPr>
                <m:t>-μ</m:t>
              </m:r>
            </m:num>
            <m:den>
              <m:r>
                <w:rPr>
                  <w:rFonts w:ascii="Cambria Math" w:hAnsi="Cambria Math" w:cstheme="majorHAnsi"/>
                  <w:sz w:val="22"/>
                  <w:szCs w:val="22"/>
                </w:rPr>
                <m:t>σ</m:t>
              </m:r>
            </m:den>
          </m:f>
        </m:oMath>
      </m:oMathPara>
    </w:p>
    <w:p w14:paraId="56DFB233" w14:textId="1770F3B7" w:rsidR="00B01732" w:rsidRPr="00CC357C" w:rsidRDefault="00B01732" w:rsidP="006223A4">
      <w:pPr>
        <w:pStyle w:val="NormalWeb"/>
        <w:jc w:val="both"/>
        <w:rPr>
          <w:rFonts w:asciiTheme="majorHAnsi" w:hAnsiTheme="majorHAnsi" w:cstheme="majorHAnsi"/>
          <w:sz w:val="22"/>
          <w:szCs w:val="22"/>
        </w:rPr>
      </w:pPr>
      <w:r w:rsidRPr="00CC357C">
        <w:rPr>
          <w:rFonts w:asciiTheme="majorHAnsi" w:hAnsiTheme="majorHAnsi" w:cstheme="majorHAnsi"/>
          <w:sz w:val="22"/>
          <w:szCs w:val="22"/>
        </w:rPr>
        <w:t xml:space="preserve">donde </w:t>
      </w:r>
      <m:oMath>
        <m:sSub>
          <m:sSubPr>
            <m:ctrlPr>
              <w:rPr>
                <w:rStyle w:val="katex"/>
                <w:rFonts w:ascii="Cambria Math" w:hAnsi="Cambria Math" w:cstheme="majorHAnsi"/>
                <w:i/>
                <w:sz w:val="22"/>
                <w:szCs w:val="22"/>
              </w:rPr>
            </m:ctrlPr>
          </m:sSubPr>
          <m:e>
            <m:r>
              <w:rPr>
                <w:rStyle w:val="katex"/>
                <w:rFonts w:ascii="Cambria Math" w:hAnsi="Cambria Math" w:cstheme="majorHAnsi"/>
                <w:sz w:val="22"/>
                <w:szCs w:val="22"/>
              </w:rPr>
              <m:t>X</m:t>
            </m:r>
          </m:e>
          <m:sub>
            <m:r>
              <w:rPr>
                <w:rStyle w:val="katex"/>
                <w:rFonts w:ascii="Cambria Math" w:hAnsi="Cambria Math" w:cstheme="majorHAnsi"/>
                <w:sz w:val="22"/>
                <w:szCs w:val="22"/>
              </w:rPr>
              <m:t>i</m:t>
            </m:r>
          </m:sub>
        </m:sSub>
        <m:r>
          <w:rPr>
            <w:rStyle w:val="katex"/>
            <w:rFonts w:ascii="Cambria Math" w:hAnsi="Cambria Math" w:cstheme="majorHAnsi"/>
            <w:sz w:val="22"/>
            <w:szCs w:val="22"/>
          </w:rPr>
          <m:t xml:space="preserve"> </m:t>
        </m:r>
      </m:oMath>
      <w:r w:rsidRPr="00CC357C">
        <w:rPr>
          <w:rFonts w:asciiTheme="majorHAnsi" w:hAnsiTheme="majorHAnsi" w:cstheme="majorHAnsi"/>
          <w:sz w:val="22"/>
          <w:szCs w:val="22"/>
        </w:rPr>
        <w:t>es el valor observado,</w:t>
      </w:r>
      <w:r w:rsidR="0099703D" w:rsidRPr="00CC357C">
        <w:rPr>
          <w:rFonts w:asciiTheme="majorHAnsi" w:hAnsiTheme="majorHAnsi" w:cstheme="majorHAnsi"/>
          <w:sz w:val="22"/>
          <w:szCs w:val="22"/>
        </w:rPr>
        <w:t xml:space="preserve"> </w:t>
      </w:r>
      <m:oMath>
        <m:r>
          <w:rPr>
            <w:rFonts w:ascii="Cambria Math" w:hAnsi="Cambria Math" w:cstheme="majorHAnsi"/>
            <w:sz w:val="22"/>
            <w:szCs w:val="22"/>
          </w:rPr>
          <m:t>μ</m:t>
        </m:r>
      </m:oMath>
      <w:r w:rsidRPr="00CC357C">
        <w:rPr>
          <w:rFonts w:asciiTheme="majorHAnsi" w:hAnsiTheme="majorHAnsi" w:cstheme="majorHAnsi"/>
          <w:sz w:val="22"/>
          <w:szCs w:val="22"/>
        </w:rPr>
        <w:t xml:space="preserve"> la media de la variable y</w:t>
      </w:r>
      <w:r w:rsidR="0099703D" w:rsidRPr="00CC357C">
        <w:rPr>
          <w:rFonts w:asciiTheme="majorHAnsi" w:hAnsiTheme="majorHAnsi" w:cstheme="majorHAnsi"/>
          <w:i/>
          <w:sz w:val="22"/>
          <w:szCs w:val="22"/>
        </w:rPr>
        <w:t xml:space="preserve"> </w:t>
      </w:r>
      <m:oMath>
        <m:r>
          <w:rPr>
            <w:rFonts w:ascii="Cambria Math" w:hAnsi="Cambria Math" w:cstheme="majorHAnsi"/>
            <w:sz w:val="22"/>
            <w:szCs w:val="22"/>
          </w:rPr>
          <m:t>σ</m:t>
        </m:r>
      </m:oMath>
      <w:r w:rsidRPr="00CC357C">
        <w:rPr>
          <w:rFonts w:asciiTheme="majorHAnsi" w:hAnsiTheme="majorHAnsi" w:cstheme="majorHAnsi"/>
          <w:sz w:val="22"/>
          <w:szCs w:val="22"/>
        </w:rPr>
        <w:t xml:space="preserve"> su desviación estándar.</w:t>
      </w:r>
      <w:r w:rsidR="0099703D" w:rsidRPr="00CC357C">
        <w:rPr>
          <w:rFonts w:asciiTheme="majorHAnsi" w:hAnsiTheme="majorHAnsi" w:cstheme="majorHAnsi"/>
          <w:sz w:val="22"/>
          <w:szCs w:val="22"/>
        </w:rPr>
        <w:t xml:space="preserve"> Esto permite: </w:t>
      </w:r>
    </w:p>
    <w:p w14:paraId="5EC43002" w14:textId="56DE1E62" w:rsidR="00B01732" w:rsidRPr="00CC357C" w:rsidRDefault="00B01732" w:rsidP="006223A4">
      <w:pPr>
        <w:pStyle w:val="NormalWeb"/>
        <w:numPr>
          <w:ilvl w:val="0"/>
          <w:numId w:val="23"/>
        </w:numPr>
        <w:jc w:val="both"/>
        <w:rPr>
          <w:rFonts w:asciiTheme="majorHAnsi" w:hAnsiTheme="majorHAnsi" w:cstheme="majorHAnsi"/>
          <w:sz w:val="22"/>
          <w:szCs w:val="22"/>
        </w:rPr>
      </w:pPr>
      <w:r w:rsidRPr="00CC357C">
        <w:rPr>
          <w:rFonts w:asciiTheme="majorHAnsi" w:hAnsiTheme="majorHAnsi" w:cstheme="majorHAnsi"/>
          <w:sz w:val="22"/>
          <w:szCs w:val="22"/>
        </w:rPr>
        <w:t>que variables con magnitudes muy distintas (ejemplo: exportaciones en millones vs. remuneraciones en miles) dominen el análisis.</w:t>
      </w:r>
    </w:p>
    <w:p w14:paraId="2CAA562A" w14:textId="1BD34081" w:rsidR="005460F5" w:rsidRPr="003E1A05" w:rsidRDefault="0099703D" w:rsidP="006223A4">
      <w:pPr>
        <w:pStyle w:val="NormalWeb"/>
        <w:numPr>
          <w:ilvl w:val="0"/>
          <w:numId w:val="23"/>
        </w:numPr>
        <w:jc w:val="both"/>
        <w:rPr>
          <w:rFonts w:asciiTheme="majorHAnsi" w:hAnsiTheme="majorHAnsi" w:cstheme="majorHAnsi"/>
          <w:sz w:val="22"/>
          <w:szCs w:val="22"/>
        </w:rPr>
      </w:pPr>
      <w:r w:rsidRPr="00CC357C">
        <w:rPr>
          <w:rFonts w:asciiTheme="majorHAnsi" w:hAnsiTheme="majorHAnsi" w:cstheme="majorHAnsi"/>
          <w:sz w:val="22"/>
          <w:szCs w:val="22"/>
        </w:rPr>
        <w:t>que las variables sean comparadas</w:t>
      </w:r>
      <w:r w:rsidR="00B01732" w:rsidRPr="00CC357C">
        <w:rPr>
          <w:rFonts w:asciiTheme="majorHAnsi" w:hAnsiTheme="majorHAnsi" w:cstheme="majorHAnsi"/>
          <w:sz w:val="22"/>
          <w:szCs w:val="22"/>
        </w:rPr>
        <w:t xml:space="preserve"> en la misma escala.</w:t>
      </w:r>
    </w:p>
    <w:p w14:paraId="51F8EBC0" w14:textId="125E4CEA" w:rsidR="005460F5" w:rsidRDefault="005460F5" w:rsidP="006223A4">
      <w:pPr>
        <w:spacing w:line="240" w:lineRule="auto"/>
        <w:jc w:val="both"/>
        <w:rPr>
          <w:rFonts w:asciiTheme="majorHAnsi" w:eastAsia="Times New Roman" w:hAnsiTheme="majorHAnsi" w:cstheme="majorHAnsi"/>
          <w:lang w:val="es-CL" w:eastAsia="es-CL"/>
        </w:rPr>
      </w:pPr>
      <w:r w:rsidRPr="005460F5">
        <w:rPr>
          <w:rFonts w:asciiTheme="majorHAnsi" w:eastAsia="Times New Roman" w:hAnsiTheme="majorHAnsi" w:cstheme="majorHAnsi"/>
          <w:lang w:val="es-CL" w:eastAsia="es-CL"/>
        </w:rPr>
        <w:t xml:space="preserve">El uso de </w:t>
      </w:r>
      <w:r w:rsidRPr="005460F5">
        <w:rPr>
          <w:rFonts w:asciiTheme="majorHAnsi" w:eastAsia="Times New Roman" w:hAnsiTheme="majorHAnsi" w:cstheme="majorHAnsi"/>
          <w:b/>
          <w:bCs/>
          <w:lang w:val="es-CL" w:eastAsia="es-CL"/>
        </w:rPr>
        <w:t>z-scores</w:t>
      </w:r>
      <w:r w:rsidRPr="005460F5">
        <w:rPr>
          <w:rFonts w:asciiTheme="majorHAnsi" w:eastAsia="Times New Roman" w:hAnsiTheme="majorHAnsi" w:cstheme="majorHAnsi"/>
          <w:lang w:val="es-CL" w:eastAsia="es-CL"/>
        </w:rPr>
        <w:t xml:space="preserve"> como método de normalización se justifica por su capacidad de estandarizar variables con escalas muy distintas, lo cual es habitual en indicadores industriales (ejemplo: exportaciones en millones de USD frente a remuneraciones en miles). Si bien existen alternativas como la normalización min–max o escalamiento robusto, estas son más sensibles a valores atípicos o dependen de rangos arbitrarios que pueden variar según la muestra. En cambio, el z-score preserva la estructura de dispersión relativa y facilita la interpretación estadística de los componentes principales. </w:t>
      </w:r>
    </w:p>
    <w:p w14:paraId="4FF3CF83" w14:textId="77777777" w:rsidR="003E1A05" w:rsidRPr="003E1A05" w:rsidRDefault="003E1A05" w:rsidP="006223A4">
      <w:pPr>
        <w:spacing w:line="240" w:lineRule="auto"/>
        <w:jc w:val="both"/>
        <w:rPr>
          <w:rFonts w:asciiTheme="majorHAnsi" w:eastAsia="Times New Roman" w:hAnsiTheme="majorHAnsi" w:cstheme="majorHAnsi"/>
          <w:lang w:val="es-CL" w:eastAsia="es-CL"/>
        </w:rPr>
      </w:pPr>
    </w:p>
    <w:p w14:paraId="198CE53B" w14:textId="280E91B7" w:rsidR="00B01732" w:rsidRPr="00CC357C" w:rsidRDefault="00B01732" w:rsidP="006223A4">
      <w:pPr>
        <w:spacing w:line="240" w:lineRule="auto"/>
        <w:jc w:val="both"/>
        <w:rPr>
          <w:rFonts w:asciiTheme="majorHAnsi" w:hAnsiTheme="majorHAnsi" w:cstheme="majorHAnsi"/>
          <w:u w:val="single"/>
          <w:lang w:val="es-CL"/>
        </w:rPr>
      </w:pPr>
      <w:r w:rsidRPr="00CC357C">
        <w:rPr>
          <w:rFonts w:asciiTheme="majorHAnsi" w:hAnsiTheme="majorHAnsi" w:cstheme="majorHAnsi"/>
          <w:u w:val="single"/>
          <w:lang w:val="es-CL"/>
        </w:rPr>
        <w:t>Estimación de pesos con PCA (Análisis de Componentes Principales)</w:t>
      </w:r>
    </w:p>
    <w:p w14:paraId="5E715AFB" w14:textId="22D840B6" w:rsidR="005460F5" w:rsidRPr="00CC357C" w:rsidRDefault="00B01732" w:rsidP="006223A4">
      <w:pPr>
        <w:pStyle w:val="NormalWeb"/>
        <w:jc w:val="both"/>
        <w:rPr>
          <w:rFonts w:asciiTheme="majorHAnsi" w:hAnsiTheme="majorHAnsi" w:cstheme="majorHAnsi"/>
          <w:sz w:val="22"/>
          <w:szCs w:val="22"/>
        </w:rPr>
      </w:pPr>
      <w:r w:rsidRPr="00CC357C">
        <w:rPr>
          <w:rFonts w:asciiTheme="majorHAnsi" w:hAnsiTheme="majorHAnsi" w:cstheme="majorHAnsi"/>
          <w:sz w:val="22"/>
          <w:szCs w:val="22"/>
        </w:rPr>
        <w:t>Se aplica un PCA a l</w:t>
      </w:r>
      <w:r w:rsidR="0099703D" w:rsidRPr="00CC357C">
        <w:rPr>
          <w:rFonts w:asciiTheme="majorHAnsi" w:hAnsiTheme="majorHAnsi" w:cstheme="majorHAnsi"/>
          <w:sz w:val="22"/>
          <w:szCs w:val="22"/>
        </w:rPr>
        <w:t xml:space="preserve">os datos </w:t>
      </w:r>
      <w:r w:rsidRPr="00CC357C">
        <w:rPr>
          <w:rFonts w:asciiTheme="majorHAnsi" w:hAnsiTheme="majorHAnsi" w:cstheme="majorHAnsi"/>
          <w:sz w:val="22"/>
          <w:szCs w:val="22"/>
        </w:rPr>
        <w:t>normalizada</w:t>
      </w:r>
      <w:r w:rsidR="0099703D" w:rsidRPr="00CC357C">
        <w:rPr>
          <w:rFonts w:asciiTheme="majorHAnsi" w:hAnsiTheme="majorHAnsi" w:cstheme="majorHAnsi"/>
          <w:sz w:val="22"/>
          <w:szCs w:val="22"/>
        </w:rPr>
        <w:t>os</w:t>
      </w:r>
      <w:r w:rsidRPr="00CC357C">
        <w:rPr>
          <w:rFonts w:asciiTheme="majorHAnsi" w:hAnsiTheme="majorHAnsi" w:cstheme="majorHAnsi"/>
          <w:sz w:val="22"/>
          <w:szCs w:val="22"/>
        </w:rPr>
        <w:t xml:space="preserve"> para extraer los componentes principales. Cada variable </w:t>
      </w:r>
      <w:r w:rsidRPr="005460F5">
        <w:rPr>
          <w:rFonts w:asciiTheme="majorHAnsi" w:hAnsiTheme="majorHAnsi" w:cstheme="majorHAnsi"/>
          <w:sz w:val="22"/>
          <w:szCs w:val="22"/>
        </w:rPr>
        <w:t>obtiene un peso (carga facto</w:t>
      </w:r>
      <w:r w:rsidRPr="00CC357C">
        <w:rPr>
          <w:rFonts w:asciiTheme="majorHAnsi" w:hAnsiTheme="majorHAnsi" w:cstheme="majorHAnsi"/>
          <w:sz w:val="22"/>
          <w:szCs w:val="22"/>
        </w:rPr>
        <w:t>rial) proporcional a la varianza que explica en el primer componente</w:t>
      </w:r>
      <w:r w:rsidR="0099703D" w:rsidRPr="00CC357C">
        <w:rPr>
          <w:rFonts w:asciiTheme="majorHAnsi" w:hAnsiTheme="majorHAnsi" w:cstheme="majorHAnsi"/>
          <w:sz w:val="22"/>
          <w:szCs w:val="22"/>
        </w:rPr>
        <w:t xml:space="preserve"> -</w:t>
      </w:r>
      <w:r w:rsidRPr="00CC357C">
        <w:rPr>
          <w:rFonts w:asciiTheme="majorHAnsi" w:hAnsiTheme="majorHAnsi" w:cstheme="majorHAnsi"/>
          <w:sz w:val="22"/>
          <w:szCs w:val="22"/>
        </w:rPr>
        <w:t>el que captura la mayor proporción de la información común.</w:t>
      </w:r>
      <w:r w:rsidR="0099703D" w:rsidRPr="00CC357C">
        <w:rPr>
          <w:rFonts w:asciiTheme="majorHAnsi" w:hAnsiTheme="majorHAnsi" w:cstheme="majorHAnsi"/>
          <w:sz w:val="22"/>
          <w:szCs w:val="22"/>
        </w:rPr>
        <w:t xml:space="preserve"> </w:t>
      </w:r>
      <w:r w:rsidR="005460F5" w:rsidRPr="005460F5">
        <w:rPr>
          <w:rFonts w:asciiTheme="majorHAnsi" w:hAnsiTheme="majorHAnsi" w:cstheme="majorHAnsi"/>
          <w:sz w:val="22"/>
          <w:szCs w:val="22"/>
        </w:rPr>
        <w:t xml:space="preserve">En el caso del PCA, el primer componente explica en promedio entre X% y Y% de la varianza total (este valor debería reportarse empíricamente en la sección de resultados), lo que asegura que los pesos capturen efectivamente la dimensión común de productividad. Una pregunta relevante es qué ocurre si los patrones difieren fuertemente entre países: en esos casos, el PCA tiende a reflejar la estructura dominante en la muestra conjunta, por lo que se recomienda pruebas de robustez por subgrupos regionales. </w:t>
      </w:r>
    </w:p>
    <w:p w14:paraId="4D42C44D" w14:textId="3D7BDE93" w:rsidR="00B01732" w:rsidRPr="00CC357C" w:rsidRDefault="0099703D" w:rsidP="006223A4">
      <w:pPr>
        <w:pStyle w:val="NormalWeb"/>
        <w:jc w:val="both"/>
        <w:rPr>
          <w:rFonts w:asciiTheme="majorHAnsi" w:hAnsiTheme="majorHAnsi" w:cstheme="majorHAnsi"/>
          <w:sz w:val="22"/>
          <w:szCs w:val="22"/>
        </w:rPr>
      </w:pPr>
      <w:r w:rsidRPr="00CC357C">
        <w:rPr>
          <w:rFonts w:asciiTheme="majorHAnsi" w:hAnsiTheme="majorHAnsi" w:cstheme="majorHAnsi"/>
          <w:sz w:val="22"/>
          <w:szCs w:val="22"/>
        </w:rPr>
        <w:t>En particular</w:t>
      </w:r>
      <w:r w:rsidR="00B01732" w:rsidRPr="00CC357C">
        <w:rPr>
          <w:rFonts w:asciiTheme="majorHAnsi" w:hAnsiTheme="majorHAnsi" w:cstheme="majorHAnsi"/>
          <w:sz w:val="22"/>
          <w:szCs w:val="22"/>
        </w:rPr>
        <w:t>:</w:t>
      </w:r>
    </w:p>
    <w:p w14:paraId="35721F1E" w14:textId="53C9DFCB" w:rsidR="0099703D" w:rsidRPr="00CC357C" w:rsidRDefault="00000000" w:rsidP="006223A4">
      <w:pPr>
        <w:pStyle w:val="NormalWeb"/>
        <w:jc w:val="both"/>
        <w:rPr>
          <w:rFonts w:asciiTheme="majorHAnsi" w:hAnsiTheme="majorHAnsi" w:cstheme="majorHAnsi"/>
          <w:sz w:val="22"/>
          <w:szCs w:val="22"/>
        </w:rPr>
      </w:pPr>
      <m:oMathPara>
        <m:oMath>
          <m:sSub>
            <m:sSubPr>
              <m:ctrlPr>
                <w:rPr>
                  <w:rFonts w:ascii="Cambria Math" w:hAnsi="Cambria Math" w:cstheme="majorHAnsi"/>
                  <w:i/>
                  <w:sz w:val="22"/>
                  <w:szCs w:val="22"/>
                </w:rPr>
              </m:ctrlPr>
            </m:sSubPr>
            <m:e>
              <m:r>
                <w:rPr>
                  <w:rFonts w:ascii="Cambria Math" w:hAnsi="Cambria Math" w:cstheme="majorHAnsi"/>
                  <w:sz w:val="22"/>
                  <w:szCs w:val="22"/>
                </w:rPr>
                <m:t>λ</m:t>
              </m:r>
            </m:e>
            <m:sub>
              <m:r>
                <w:rPr>
                  <w:rFonts w:ascii="Cambria Math" w:hAnsi="Cambria Math" w:cstheme="majorHAnsi"/>
                  <w:sz w:val="22"/>
                  <w:szCs w:val="22"/>
                </w:rPr>
                <m:t>j</m:t>
              </m:r>
            </m:sub>
          </m:sSub>
          <m:r>
            <w:rPr>
              <w:rFonts w:ascii="Cambria Math" w:hAnsi="Cambria Math" w:cstheme="majorHAnsi"/>
              <w:sz w:val="22"/>
              <w:szCs w:val="22"/>
            </w:rPr>
            <m:t>=</m:t>
          </m:r>
          <m:f>
            <m:fPr>
              <m:ctrlPr>
                <w:rPr>
                  <w:rFonts w:ascii="Cambria Math" w:hAnsi="Cambria Math" w:cstheme="majorHAnsi"/>
                  <w:i/>
                  <w:sz w:val="22"/>
                  <w:szCs w:val="22"/>
                </w:rPr>
              </m:ctrlPr>
            </m:fPr>
            <m:num>
              <m:r>
                <w:rPr>
                  <w:rFonts w:ascii="Cambria Math" w:hAnsi="Cambria Math" w:cstheme="majorHAnsi"/>
                  <w:sz w:val="22"/>
                  <w:szCs w:val="22"/>
                </w:rPr>
                <m:t>varianza explicada por la variable j</m:t>
              </m:r>
            </m:num>
            <m:den>
              <m:r>
                <w:rPr>
                  <w:rFonts w:ascii="Cambria Math" w:hAnsi="Cambria Math" w:cstheme="majorHAnsi"/>
                  <w:sz w:val="22"/>
                  <w:szCs w:val="22"/>
                </w:rPr>
                <m:t>varianza total explicada</m:t>
              </m:r>
            </m:den>
          </m:f>
        </m:oMath>
      </m:oMathPara>
    </w:p>
    <w:p w14:paraId="11459949" w14:textId="77777777" w:rsidR="005460F5" w:rsidRDefault="005460F5" w:rsidP="006223A4">
      <w:pPr>
        <w:pStyle w:val="NormalWeb"/>
        <w:jc w:val="both"/>
        <w:rPr>
          <w:rFonts w:asciiTheme="majorHAnsi" w:hAnsiTheme="majorHAnsi" w:cstheme="majorHAnsi"/>
          <w:sz w:val="22"/>
          <w:szCs w:val="22"/>
        </w:rPr>
      </w:pPr>
    </w:p>
    <w:p w14:paraId="74739FAF" w14:textId="665A4483" w:rsidR="0099703D" w:rsidRPr="00CC357C" w:rsidRDefault="005460F5" w:rsidP="006223A4">
      <w:pPr>
        <w:pStyle w:val="NormalWeb"/>
        <w:jc w:val="both"/>
        <w:rPr>
          <w:rFonts w:asciiTheme="majorHAnsi" w:hAnsiTheme="majorHAnsi" w:cstheme="majorHAnsi"/>
          <w:sz w:val="22"/>
          <w:szCs w:val="22"/>
        </w:rPr>
      </w:pPr>
      <w:r w:rsidRPr="005460F5">
        <w:rPr>
          <w:rFonts w:asciiTheme="majorHAnsi" w:hAnsiTheme="majorHAnsi" w:cstheme="majorHAnsi"/>
          <w:sz w:val="22"/>
          <w:szCs w:val="22"/>
        </w:rPr>
        <w:t xml:space="preserve">Frente a la alternativa de pesos iguales, el PCA tiene la ventaja de evitar doble conteo de información redundante y de derivar los pesos de la estructura estadística de los datos, no de juicios arbitrarios. </w:t>
      </w:r>
      <w:r w:rsidR="0099703D" w:rsidRPr="00CC357C">
        <w:rPr>
          <w:rFonts w:asciiTheme="majorHAnsi" w:hAnsiTheme="majorHAnsi" w:cstheme="majorHAnsi"/>
          <w:sz w:val="22"/>
          <w:szCs w:val="22"/>
        </w:rPr>
        <w:t>Sin embargo, por la naturaleza de los datos</w:t>
      </w:r>
      <w:r w:rsidR="00CC357C" w:rsidRPr="00CC357C">
        <w:rPr>
          <w:rFonts w:asciiTheme="majorHAnsi" w:hAnsiTheme="majorHAnsi" w:cstheme="majorHAnsi"/>
          <w:sz w:val="22"/>
          <w:szCs w:val="22"/>
        </w:rPr>
        <w:t xml:space="preserve"> industriales</w:t>
      </w:r>
      <w:r w:rsidR="0099703D" w:rsidRPr="00CC357C">
        <w:rPr>
          <w:rFonts w:asciiTheme="majorHAnsi" w:hAnsiTheme="majorHAnsi" w:cstheme="majorHAnsi"/>
          <w:sz w:val="22"/>
          <w:szCs w:val="22"/>
        </w:rPr>
        <w:t>, nos parece pertinente reucurrir a un método más robusto que, además, es ampliamente usado en el trabajo aplicado. La ventaja de PCA sobre otros métodos es que:</w:t>
      </w:r>
    </w:p>
    <w:p w14:paraId="724EA943" w14:textId="77777777" w:rsidR="0099703D" w:rsidRPr="00CC357C" w:rsidRDefault="00B01732" w:rsidP="006223A4">
      <w:pPr>
        <w:pStyle w:val="NormalWeb"/>
        <w:numPr>
          <w:ilvl w:val="0"/>
          <w:numId w:val="23"/>
        </w:numPr>
        <w:jc w:val="both"/>
        <w:rPr>
          <w:rFonts w:asciiTheme="majorHAnsi" w:hAnsiTheme="majorHAnsi" w:cstheme="majorHAnsi"/>
          <w:sz w:val="22"/>
          <w:szCs w:val="22"/>
        </w:rPr>
      </w:pPr>
      <w:r w:rsidRPr="00CC357C">
        <w:rPr>
          <w:rFonts w:asciiTheme="majorHAnsi" w:hAnsiTheme="majorHAnsi" w:cstheme="majorHAnsi"/>
          <w:sz w:val="22"/>
          <w:szCs w:val="22"/>
        </w:rPr>
        <w:t>los pesos se derivan de la estructura estadística de los datos y no de juicios arbitrarios.</w:t>
      </w:r>
    </w:p>
    <w:p w14:paraId="3D68B040" w14:textId="63F61348" w:rsidR="00B01732" w:rsidRPr="00CC357C" w:rsidRDefault="00B01732" w:rsidP="006223A4">
      <w:pPr>
        <w:pStyle w:val="NormalWeb"/>
        <w:numPr>
          <w:ilvl w:val="0"/>
          <w:numId w:val="23"/>
        </w:numPr>
        <w:jc w:val="both"/>
        <w:rPr>
          <w:rFonts w:asciiTheme="majorHAnsi" w:hAnsiTheme="majorHAnsi" w:cstheme="majorHAnsi"/>
          <w:sz w:val="22"/>
          <w:szCs w:val="22"/>
        </w:rPr>
      </w:pPr>
      <w:r w:rsidRPr="00CC357C">
        <w:rPr>
          <w:rFonts w:asciiTheme="majorHAnsi" w:hAnsiTheme="majorHAnsi" w:cstheme="majorHAnsi"/>
          <w:sz w:val="22"/>
          <w:szCs w:val="22"/>
        </w:rPr>
        <w:t>Captura correlaciones entre variables: evita doble conteo de información redundante (ejemplo: VA/Ocupados y Remuneraciones/Ocupados suelen estar correlacionados).</w:t>
      </w:r>
    </w:p>
    <w:p w14:paraId="08DFD6DD" w14:textId="15A32AA6" w:rsidR="005460F5" w:rsidRPr="00CC357C" w:rsidRDefault="005460F5" w:rsidP="006223A4">
      <w:pPr>
        <w:pStyle w:val="NormalWeb"/>
        <w:jc w:val="both"/>
        <w:rPr>
          <w:rFonts w:asciiTheme="majorHAnsi" w:hAnsiTheme="majorHAnsi" w:cstheme="majorHAnsi"/>
          <w:sz w:val="22"/>
          <w:szCs w:val="22"/>
        </w:rPr>
      </w:pPr>
      <w:r w:rsidRPr="005460F5">
        <w:rPr>
          <w:rFonts w:asciiTheme="majorHAnsi" w:hAnsiTheme="majorHAnsi" w:cstheme="majorHAnsi"/>
          <w:sz w:val="22"/>
          <w:szCs w:val="22"/>
        </w:rPr>
        <w:t>Finalmente, es importante señalar que algunos indicadores tienen una relación inversa con la productividad (por ejemplo, CI/VA, donde valores altos indican menor eficiencia). En esos casos, las cargas se interpretan en sentido opuesto, y se aplica un ajuste de signo para mantener la coherencia del índice compuesto.</w:t>
      </w:r>
      <w:r>
        <w:rPr>
          <w:rFonts w:asciiTheme="majorHAnsi" w:hAnsiTheme="majorHAnsi" w:cstheme="majorHAnsi"/>
          <w:sz w:val="22"/>
          <w:szCs w:val="22"/>
        </w:rPr>
        <w:t xml:space="preserve"> EL PCA </w:t>
      </w:r>
      <w:r w:rsidRPr="00CC357C">
        <w:rPr>
          <w:rFonts w:asciiTheme="majorHAnsi" w:hAnsiTheme="majorHAnsi" w:cstheme="majorHAnsi"/>
          <w:sz w:val="22"/>
          <w:szCs w:val="22"/>
        </w:rPr>
        <w:t xml:space="preserve">Es un método ampliamente documentado en la literatura de Naciones Unidas (UNIDO, </w:t>
      </w:r>
      <w:r w:rsidRPr="00CC357C">
        <w:rPr>
          <w:rStyle w:val="nfasis"/>
          <w:rFonts w:asciiTheme="majorHAnsi" w:eastAsiaTheme="majorEastAsia" w:hAnsiTheme="majorHAnsi" w:cstheme="majorHAnsi"/>
          <w:sz w:val="22"/>
          <w:szCs w:val="22"/>
        </w:rPr>
        <w:t>Industrial Development Report</w:t>
      </w:r>
      <w:r w:rsidRPr="00CC357C">
        <w:rPr>
          <w:rFonts w:asciiTheme="majorHAnsi" w:hAnsiTheme="majorHAnsi" w:cstheme="majorHAnsi"/>
          <w:sz w:val="22"/>
          <w:szCs w:val="22"/>
        </w:rPr>
        <w:t>) y OECD (</w:t>
      </w:r>
      <w:r w:rsidRPr="00CC357C">
        <w:rPr>
          <w:rStyle w:val="nfasis"/>
          <w:rFonts w:asciiTheme="majorHAnsi" w:eastAsiaTheme="majorEastAsia" w:hAnsiTheme="majorHAnsi" w:cstheme="majorHAnsi"/>
          <w:sz w:val="22"/>
          <w:szCs w:val="22"/>
        </w:rPr>
        <w:t>Handbook on Constructing Composite Indicators</w:t>
      </w:r>
      <w:r w:rsidRPr="00CC357C">
        <w:rPr>
          <w:rFonts w:asciiTheme="majorHAnsi" w:hAnsiTheme="majorHAnsi" w:cstheme="majorHAnsi"/>
          <w:sz w:val="22"/>
          <w:szCs w:val="22"/>
        </w:rPr>
        <w:t>).</w:t>
      </w:r>
    </w:p>
    <w:p w14:paraId="0E40677B" w14:textId="6B3332CF" w:rsidR="009629DA" w:rsidRPr="00CC357C" w:rsidRDefault="009629DA" w:rsidP="006223A4">
      <w:pPr>
        <w:pStyle w:val="NormalWeb"/>
        <w:jc w:val="both"/>
        <w:rPr>
          <w:rFonts w:asciiTheme="majorHAnsi" w:hAnsiTheme="majorHAnsi" w:cstheme="majorHAnsi"/>
          <w:sz w:val="22"/>
          <w:szCs w:val="22"/>
        </w:rPr>
      </w:pPr>
      <w:r w:rsidRPr="00CC357C">
        <w:rPr>
          <w:rFonts w:asciiTheme="majorHAnsi" w:hAnsiTheme="majorHAnsi" w:cstheme="majorHAnsi"/>
          <w:sz w:val="22"/>
          <w:szCs w:val="22"/>
        </w:rPr>
        <w:t xml:space="preserve">Seguidamente los </w:t>
      </w:r>
      <m:oMath>
        <m:r>
          <w:rPr>
            <w:rFonts w:ascii="Cambria Math" w:hAnsi="Cambria Math" w:cstheme="majorHAnsi"/>
            <w:sz w:val="22"/>
            <w:szCs w:val="22"/>
          </w:rPr>
          <m:t>λ</m:t>
        </m:r>
      </m:oMath>
      <w:r w:rsidRPr="00CC357C">
        <w:rPr>
          <w:rFonts w:asciiTheme="majorHAnsi" w:hAnsiTheme="majorHAnsi" w:cstheme="majorHAnsi"/>
          <w:sz w:val="22"/>
          <w:szCs w:val="22"/>
        </w:rPr>
        <w:t xml:space="preserve"> obtenido de aplicar PCA en la base fija se guardan como los pesos oficiales del índice. Luego, estos son normalizados para que sumen uno. Esto se realiza al nivel más desagregado; o sea, a dos dígitos de la CIIU, para a cada país y año:</w:t>
      </w:r>
    </w:p>
    <w:p w14:paraId="13DF2B8B" w14:textId="523ED0D9" w:rsidR="009629DA" w:rsidRPr="00CC357C" w:rsidRDefault="00000000" w:rsidP="006223A4">
      <w:pPr>
        <w:pStyle w:val="NormalWeb"/>
        <w:jc w:val="both"/>
        <w:rPr>
          <w:rFonts w:asciiTheme="majorHAnsi" w:hAnsiTheme="majorHAnsi" w:cstheme="majorHAnsi"/>
          <w:sz w:val="22"/>
          <w:szCs w:val="22"/>
        </w:rPr>
      </w:pPr>
      <m:oMathPara>
        <m:oMath>
          <m:sSub>
            <m:sSubPr>
              <m:ctrlPr>
                <w:rPr>
                  <w:rFonts w:ascii="Cambria Math" w:hAnsi="Cambria Math" w:cstheme="majorHAnsi"/>
                  <w:i/>
                  <w:sz w:val="22"/>
                  <w:szCs w:val="22"/>
                </w:rPr>
              </m:ctrlPr>
            </m:sSubPr>
            <m:e>
              <m:r>
                <w:rPr>
                  <w:rFonts w:ascii="Cambria Math" w:hAnsi="Cambria Math" w:cstheme="majorHAnsi"/>
                  <w:sz w:val="22"/>
                  <w:szCs w:val="22"/>
                </w:rPr>
                <m:t>w</m:t>
              </m:r>
            </m:e>
            <m:sub>
              <m:r>
                <w:rPr>
                  <w:rFonts w:ascii="Cambria Math" w:hAnsi="Cambria Math" w:cstheme="majorHAnsi"/>
                  <w:sz w:val="22"/>
                  <w:szCs w:val="22"/>
                </w:rPr>
                <m:t>j</m:t>
              </m:r>
            </m:sub>
          </m:sSub>
          <m:r>
            <w:rPr>
              <w:rFonts w:ascii="Cambria Math" w:hAnsi="Cambria Math" w:cstheme="majorHAnsi"/>
              <w:sz w:val="22"/>
              <w:szCs w:val="22"/>
            </w:rPr>
            <m:t>=</m:t>
          </m:r>
          <m:f>
            <m:fPr>
              <m:ctrlPr>
                <w:rPr>
                  <w:rFonts w:ascii="Cambria Math" w:hAnsi="Cambria Math" w:cstheme="majorHAnsi"/>
                  <w:i/>
                  <w:sz w:val="22"/>
                  <w:szCs w:val="22"/>
                </w:rPr>
              </m:ctrlPr>
            </m:fPr>
            <m:num>
              <m:sSub>
                <m:sSubPr>
                  <m:ctrlPr>
                    <w:rPr>
                      <w:rFonts w:ascii="Cambria Math" w:hAnsi="Cambria Math" w:cstheme="majorHAnsi"/>
                      <w:i/>
                      <w:sz w:val="22"/>
                      <w:szCs w:val="22"/>
                    </w:rPr>
                  </m:ctrlPr>
                </m:sSubPr>
                <m:e>
                  <m:r>
                    <w:rPr>
                      <w:rFonts w:ascii="Cambria Math" w:hAnsi="Cambria Math" w:cstheme="majorHAnsi"/>
                      <w:sz w:val="22"/>
                      <w:szCs w:val="22"/>
                    </w:rPr>
                    <m:t>λ</m:t>
                  </m:r>
                </m:e>
                <m:sub>
                  <m:r>
                    <w:rPr>
                      <w:rFonts w:ascii="Cambria Math" w:hAnsi="Cambria Math" w:cstheme="majorHAnsi"/>
                      <w:sz w:val="22"/>
                      <w:szCs w:val="22"/>
                    </w:rPr>
                    <m:t>j</m:t>
                  </m:r>
                </m:sub>
              </m:sSub>
            </m:num>
            <m:den>
              <m:nary>
                <m:naryPr>
                  <m:chr m:val="∑"/>
                  <m:limLoc m:val="undOvr"/>
                  <m:subHide m:val="1"/>
                  <m:supHide m:val="1"/>
                  <m:ctrlPr>
                    <w:rPr>
                      <w:rFonts w:ascii="Cambria Math" w:hAnsi="Cambria Math" w:cstheme="majorHAnsi"/>
                      <w:i/>
                      <w:sz w:val="22"/>
                      <w:szCs w:val="22"/>
                    </w:rPr>
                  </m:ctrlPr>
                </m:naryPr>
                <m:sub/>
                <m:sup/>
                <m:e>
                  <m:sSub>
                    <m:sSubPr>
                      <m:ctrlPr>
                        <w:rPr>
                          <w:rFonts w:ascii="Cambria Math" w:hAnsi="Cambria Math" w:cstheme="majorHAnsi"/>
                          <w:i/>
                          <w:sz w:val="22"/>
                          <w:szCs w:val="22"/>
                        </w:rPr>
                      </m:ctrlPr>
                    </m:sSubPr>
                    <m:e>
                      <m:r>
                        <w:rPr>
                          <w:rFonts w:ascii="Cambria Math" w:hAnsi="Cambria Math" w:cstheme="majorHAnsi"/>
                          <w:sz w:val="22"/>
                          <w:szCs w:val="22"/>
                        </w:rPr>
                        <m:t>λ</m:t>
                      </m:r>
                    </m:e>
                    <m:sub>
                      <m:r>
                        <w:rPr>
                          <w:rFonts w:ascii="Cambria Math" w:hAnsi="Cambria Math" w:cstheme="majorHAnsi"/>
                          <w:sz w:val="22"/>
                          <w:szCs w:val="22"/>
                        </w:rPr>
                        <m:t>j</m:t>
                      </m:r>
                    </m:sub>
                  </m:sSub>
                </m:e>
              </m:nary>
            </m:den>
          </m:f>
        </m:oMath>
      </m:oMathPara>
    </w:p>
    <w:p w14:paraId="42FF67EC" w14:textId="4E8F362D" w:rsidR="00B01732" w:rsidRPr="00CC357C" w:rsidRDefault="009629DA" w:rsidP="006223A4">
      <w:pPr>
        <w:pStyle w:val="NormalWeb"/>
        <w:jc w:val="both"/>
        <w:rPr>
          <w:rFonts w:asciiTheme="majorHAnsi" w:hAnsiTheme="majorHAnsi" w:cstheme="majorHAnsi"/>
          <w:sz w:val="22"/>
          <w:szCs w:val="22"/>
        </w:rPr>
      </w:pPr>
      <w:r w:rsidRPr="00CC357C">
        <w:rPr>
          <w:rFonts w:asciiTheme="majorHAnsi" w:hAnsiTheme="majorHAnsi" w:cstheme="majorHAnsi"/>
          <w:sz w:val="22"/>
          <w:szCs w:val="22"/>
        </w:rPr>
        <w:t xml:space="preserve">Con esto se logra la estabilidad temporal dado que los pesos no cambian año a año. Así se pueden realizar comparaciones longitudinales sin introducir ruidos por posibles cambios metodológicos.  Finalmente, se pueden aplicar los mismos pesos para cualquier otro cálculo; por ejemplo, si se incluye un nuevo año en la serie. </w:t>
      </w:r>
    </w:p>
    <w:p w14:paraId="5B429562" w14:textId="1B5D4F28" w:rsidR="00B01732" w:rsidRPr="00CC357C" w:rsidRDefault="00B01732" w:rsidP="006223A4">
      <w:pPr>
        <w:spacing w:line="240" w:lineRule="auto"/>
        <w:jc w:val="both"/>
        <w:rPr>
          <w:rFonts w:asciiTheme="majorHAnsi" w:hAnsiTheme="majorHAnsi" w:cstheme="majorHAnsi"/>
          <w:u w:val="single"/>
          <w:lang w:val="es-CL"/>
        </w:rPr>
      </w:pPr>
      <w:r w:rsidRPr="00CC357C">
        <w:rPr>
          <w:rFonts w:asciiTheme="majorHAnsi" w:hAnsiTheme="majorHAnsi" w:cstheme="majorHAnsi"/>
          <w:u w:val="single"/>
          <w:lang w:val="es-CL"/>
        </w:rPr>
        <w:t>Construcción del ICPI para todos los años</w:t>
      </w:r>
    </w:p>
    <w:p w14:paraId="2469C9D6" w14:textId="08B91D0B" w:rsidR="00B01732" w:rsidRPr="00CC357C" w:rsidRDefault="00CC357C" w:rsidP="006223A4">
      <w:pPr>
        <w:pStyle w:val="NormalWeb"/>
        <w:jc w:val="both"/>
        <w:rPr>
          <w:rFonts w:asciiTheme="majorHAnsi" w:hAnsiTheme="majorHAnsi" w:cstheme="majorHAnsi"/>
          <w:sz w:val="22"/>
          <w:szCs w:val="22"/>
        </w:rPr>
      </w:pPr>
      <w:r w:rsidRPr="00CC357C">
        <w:rPr>
          <w:rStyle w:val="Textoennegrita"/>
          <w:rFonts w:asciiTheme="majorHAnsi" w:hAnsiTheme="majorHAnsi" w:cstheme="majorHAnsi"/>
          <w:b w:val="0"/>
          <w:bCs w:val="0"/>
          <w:sz w:val="22"/>
          <w:szCs w:val="22"/>
        </w:rPr>
        <w:t xml:space="preserve">Finalmente, </w:t>
      </w:r>
      <w:r w:rsidR="009629DA" w:rsidRPr="00CC357C">
        <w:rPr>
          <w:rFonts w:asciiTheme="majorHAnsi" w:hAnsiTheme="majorHAnsi" w:cstheme="majorHAnsi"/>
          <w:sz w:val="22"/>
          <w:szCs w:val="22"/>
        </w:rPr>
        <w:t>pa</w:t>
      </w:r>
      <w:r w:rsidR="00B01732" w:rsidRPr="00CC357C">
        <w:rPr>
          <w:rFonts w:asciiTheme="majorHAnsi" w:hAnsiTheme="majorHAnsi" w:cstheme="majorHAnsi"/>
          <w:sz w:val="22"/>
          <w:szCs w:val="22"/>
        </w:rPr>
        <w:t>ra cada observación (país–industria–año), se calcula el ICPI como promedio ponderado de los ratios normalizados:</w:t>
      </w:r>
    </w:p>
    <w:p w14:paraId="00FA381A" w14:textId="20391B88" w:rsidR="009629DA" w:rsidRPr="00CC357C" w:rsidRDefault="00000000" w:rsidP="006223A4">
      <w:pPr>
        <w:pStyle w:val="NormalWeb"/>
        <w:jc w:val="both"/>
        <w:rPr>
          <w:rFonts w:asciiTheme="majorHAnsi" w:hAnsiTheme="majorHAnsi" w:cstheme="majorHAnsi"/>
          <w:sz w:val="22"/>
          <w:szCs w:val="22"/>
        </w:rPr>
      </w:pPr>
      <m:oMathPara>
        <m:oMath>
          <m:sSub>
            <m:sSubPr>
              <m:ctrlPr>
                <w:rPr>
                  <w:rFonts w:ascii="Cambria Math" w:hAnsi="Cambria Math" w:cstheme="majorHAnsi"/>
                  <w:i/>
                  <w:sz w:val="22"/>
                  <w:szCs w:val="22"/>
                </w:rPr>
              </m:ctrlPr>
            </m:sSubPr>
            <m:e>
              <m:r>
                <w:rPr>
                  <w:rFonts w:ascii="Cambria Math" w:hAnsi="Cambria Math" w:cstheme="majorHAnsi"/>
                  <w:sz w:val="22"/>
                  <w:szCs w:val="22"/>
                </w:rPr>
                <m:t>ICPI</m:t>
              </m:r>
            </m:e>
            <m:sub>
              <m:r>
                <w:rPr>
                  <w:rFonts w:ascii="Cambria Math" w:hAnsi="Cambria Math" w:cstheme="majorHAnsi"/>
                  <w:sz w:val="22"/>
                  <w:szCs w:val="22"/>
                </w:rPr>
                <m:t>c,i,t</m:t>
              </m:r>
            </m:sub>
          </m:sSub>
          <m:r>
            <w:rPr>
              <w:rFonts w:ascii="Cambria Math" w:hAnsi="Cambria Math" w:cstheme="majorHAnsi"/>
              <w:sz w:val="22"/>
              <w:szCs w:val="22"/>
            </w:rPr>
            <m:t>=</m:t>
          </m:r>
          <m:nary>
            <m:naryPr>
              <m:chr m:val="∑"/>
              <m:limLoc m:val="undOvr"/>
              <m:supHide m:val="1"/>
              <m:ctrlPr>
                <w:rPr>
                  <w:rFonts w:ascii="Cambria Math" w:hAnsi="Cambria Math" w:cstheme="majorHAnsi"/>
                  <w:i/>
                  <w:sz w:val="22"/>
                  <w:szCs w:val="22"/>
                </w:rPr>
              </m:ctrlPr>
            </m:naryPr>
            <m:sub>
              <m:r>
                <w:rPr>
                  <w:rFonts w:ascii="Cambria Math" w:hAnsi="Cambria Math" w:cstheme="majorHAnsi"/>
                  <w:sz w:val="22"/>
                  <w:szCs w:val="22"/>
                </w:rPr>
                <m:t>j</m:t>
              </m:r>
            </m:sub>
            <m:sup/>
            <m:e>
              <m:sSub>
                <m:sSubPr>
                  <m:ctrlPr>
                    <w:rPr>
                      <w:rFonts w:ascii="Cambria Math" w:hAnsi="Cambria Math" w:cstheme="majorHAnsi"/>
                      <w:i/>
                      <w:sz w:val="22"/>
                      <w:szCs w:val="22"/>
                    </w:rPr>
                  </m:ctrlPr>
                </m:sSubPr>
                <m:e>
                  <m:r>
                    <w:rPr>
                      <w:rFonts w:ascii="Cambria Math" w:hAnsi="Cambria Math" w:cstheme="majorHAnsi"/>
                      <w:sz w:val="22"/>
                      <w:szCs w:val="22"/>
                    </w:rPr>
                    <m:t>w</m:t>
                  </m:r>
                </m:e>
                <m:sub>
                  <m:r>
                    <w:rPr>
                      <w:rFonts w:ascii="Cambria Math" w:hAnsi="Cambria Math" w:cstheme="majorHAnsi"/>
                      <w:sz w:val="22"/>
                      <w:szCs w:val="22"/>
                    </w:rPr>
                    <m:t>j</m:t>
                  </m:r>
                </m:sub>
              </m:sSub>
              <m:r>
                <w:rPr>
                  <w:rFonts w:ascii="Cambria Math" w:hAnsi="Cambria Math" w:cstheme="majorHAnsi"/>
                  <w:sz w:val="22"/>
                  <w:szCs w:val="22"/>
                </w:rPr>
                <m:t>∙</m:t>
              </m:r>
              <m:sSubSup>
                <m:sSubSupPr>
                  <m:ctrlPr>
                    <w:rPr>
                      <w:rFonts w:ascii="Cambria Math" w:hAnsi="Cambria Math" w:cstheme="majorHAnsi"/>
                      <w:i/>
                      <w:sz w:val="22"/>
                      <w:szCs w:val="22"/>
                    </w:rPr>
                  </m:ctrlPr>
                </m:sSubSupPr>
                <m:e>
                  <m:r>
                    <w:rPr>
                      <w:rFonts w:ascii="Cambria Math" w:hAnsi="Cambria Math" w:cstheme="majorHAnsi"/>
                      <w:sz w:val="22"/>
                      <w:szCs w:val="22"/>
                    </w:rPr>
                    <m:t>Z</m:t>
                  </m:r>
                </m:e>
                <m:sub>
                  <m:r>
                    <w:rPr>
                      <w:rFonts w:ascii="Cambria Math" w:hAnsi="Cambria Math" w:cstheme="majorHAnsi"/>
                      <w:sz w:val="22"/>
                      <w:szCs w:val="22"/>
                    </w:rPr>
                    <m:t>c,i,t</m:t>
                  </m:r>
                </m:sub>
                <m:sup>
                  <m:r>
                    <w:rPr>
                      <w:rFonts w:ascii="Cambria Math" w:hAnsi="Cambria Math" w:cstheme="majorHAnsi"/>
                      <w:sz w:val="22"/>
                      <w:szCs w:val="22"/>
                    </w:rPr>
                    <m:t>j</m:t>
                  </m:r>
                </m:sup>
              </m:sSubSup>
            </m:e>
          </m:nary>
        </m:oMath>
      </m:oMathPara>
    </w:p>
    <w:p w14:paraId="4C2F1CC9" w14:textId="49E1EFCC" w:rsidR="00B01732" w:rsidRDefault="00B01732" w:rsidP="00FF0680">
      <w:pPr>
        <w:pStyle w:val="NormalWeb"/>
        <w:jc w:val="both"/>
        <w:rPr>
          <w:rFonts w:asciiTheme="majorHAnsi" w:hAnsiTheme="majorHAnsi" w:cstheme="majorHAnsi"/>
          <w:sz w:val="22"/>
          <w:szCs w:val="22"/>
        </w:rPr>
      </w:pPr>
      <w:r w:rsidRPr="00CC357C">
        <w:rPr>
          <w:rFonts w:asciiTheme="majorHAnsi" w:hAnsiTheme="majorHAnsi" w:cstheme="majorHAnsi"/>
          <w:sz w:val="22"/>
          <w:szCs w:val="22"/>
        </w:rPr>
        <w:t xml:space="preserve">donde </w:t>
      </w:r>
      <w:r w:rsidRPr="00CC357C">
        <w:rPr>
          <w:rStyle w:val="katex"/>
          <w:rFonts w:asciiTheme="majorHAnsi" w:hAnsiTheme="majorHAnsi" w:cstheme="majorHAnsi"/>
          <w:sz w:val="22"/>
          <w:szCs w:val="22"/>
        </w:rPr>
        <w:t>c</w:t>
      </w:r>
      <w:r w:rsidRPr="00CC357C">
        <w:rPr>
          <w:rFonts w:asciiTheme="majorHAnsi" w:hAnsiTheme="majorHAnsi" w:cstheme="majorHAnsi"/>
          <w:sz w:val="22"/>
          <w:szCs w:val="22"/>
        </w:rPr>
        <w:t xml:space="preserve"> es el país, </w:t>
      </w:r>
      <w:r w:rsidRPr="00CC357C">
        <w:rPr>
          <w:rStyle w:val="katex"/>
          <w:rFonts w:asciiTheme="majorHAnsi" w:hAnsiTheme="majorHAnsi" w:cstheme="majorHAnsi"/>
          <w:sz w:val="22"/>
          <w:szCs w:val="22"/>
        </w:rPr>
        <w:t>i</w:t>
      </w:r>
      <w:r w:rsidRPr="00CC357C">
        <w:rPr>
          <w:rFonts w:asciiTheme="majorHAnsi" w:hAnsiTheme="majorHAnsi" w:cstheme="majorHAnsi"/>
          <w:sz w:val="22"/>
          <w:szCs w:val="22"/>
        </w:rPr>
        <w:t xml:space="preserve"> la industria CIIU2d, </w:t>
      </w:r>
      <w:r w:rsidRPr="00CC357C">
        <w:rPr>
          <w:rStyle w:val="katex"/>
          <w:rFonts w:asciiTheme="majorHAnsi" w:hAnsiTheme="majorHAnsi" w:cstheme="majorHAnsi"/>
          <w:sz w:val="22"/>
          <w:szCs w:val="22"/>
        </w:rPr>
        <w:t>t</w:t>
      </w:r>
      <w:r w:rsidRPr="00CC357C">
        <w:rPr>
          <w:rFonts w:asciiTheme="majorHAnsi" w:hAnsiTheme="majorHAnsi" w:cstheme="majorHAnsi"/>
          <w:sz w:val="22"/>
          <w:szCs w:val="22"/>
        </w:rPr>
        <w:t xml:space="preserve"> el año y </w:t>
      </w:r>
      <w:r w:rsidRPr="00CC357C">
        <w:rPr>
          <w:rStyle w:val="katex"/>
          <w:rFonts w:asciiTheme="majorHAnsi" w:hAnsiTheme="majorHAnsi" w:cstheme="majorHAnsi"/>
          <w:sz w:val="22"/>
          <w:szCs w:val="22"/>
        </w:rPr>
        <w:t>j</w:t>
      </w:r>
      <w:r w:rsidRPr="00CC357C">
        <w:rPr>
          <w:rFonts w:asciiTheme="majorHAnsi" w:hAnsiTheme="majorHAnsi" w:cstheme="majorHAnsi"/>
          <w:sz w:val="22"/>
          <w:szCs w:val="22"/>
        </w:rPr>
        <w:t xml:space="preserve"> cada ratio</w:t>
      </w:r>
      <w:r w:rsidR="00CC357C" w:rsidRPr="00CC357C">
        <w:rPr>
          <w:rFonts w:asciiTheme="majorHAnsi" w:hAnsiTheme="majorHAnsi" w:cstheme="majorHAnsi"/>
          <w:sz w:val="22"/>
          <w:szCs w:val="22"/>
        </w:rPr>
        <w:t xml:space="preserve"> calculado previamente</w:t>
      </w:r>
      <w:r w:rsidRPr="00CC357C">
        <w:rPr>
          <w:rFonts w:asciiTheme="majorHAnsi" w:hAnsiTheme="majorHAnsi" w:cstheme="majorHAnsi"/>
          <w:sz w:val="22"/>
          <w:szCs w:val="22"/>
        </w:rPr>
        <w:t>.</w:t>
      </w:r>
    </w:p>
    <w:p w14:paraId="2D629993" w14:textId="49E1EFCC" w:rsidR="003F2872" w:rsidRPr="002055CD" w:rsidRDefault="00A85F38" w:rsidP="00A85F38">
      <w:pPr>
        <w:pStyle w:val="Ttulo1"/>
        <w:rPr>
          <w:lang w:val="es-CL"/>
        </w:rPr>
      </w:pPr>
      <w:bookmarkStart w:id="5" w:name="_Toc206753340"/>
      <w:r w:rsidRPr="002055CD">
        <w:rPr>
          <w:lang w:val="es-CL"/>
        </w:rPr>
        <w:lastRenderedPageBreak/>
        <w:t>Resultados</w:t>
      </w:r>
      <w:r w:rsidR="002C3D27" w:rsidRPr="002055CD">
        <w:rPr>
          <w:lang w:val="es-CL"/>
        </w:rPr>
        <w:t xml:space="preserve"> preliminares</w:t>
      </w:r>
      <w:bookmarkEnd w:id="5"/>
    </w:p>
    <w:p w14:paraId="49743456" w14:textId="54FA54F5" w:rsidR="009975E0" w:rsidRPr="002055CD" w:rsidRDefault="009975E0" w:rsidP="009975E0">
      <w:pPr>
        <w:pStyle w:val="Ttulo1"/>
        <w:rPr>
          <w:lang w:val="es-CL"/>
        </w:rPr>
      </w:pPr>
      <w:bookmarkStart w:id="6" w:name="_Toc206753341"/>
      <w:r w:rsidRPr="002055CD">
        <w:rPr>
          <w:lang w:val="es-CL"/>
        </w:rPr>
        <w:t>Análisis de robustez</w:t>
      </w:r>
      <w:bookmarkEnd w:id="6"/>
    </w:p>
    <w:p w14:paraId="5A2A0DC3" w14:textId="77777777" w:rsidR="00542128" w:rsidRPr="002055CD" w:rsidRDefault="00000000" w:rsidP="003F2872">
      <w:pPr>
        <w:pStyle w:val="Ttulo1"/>
        <w:rPr>
          <w:lang w:val="es-CL"/>
        </w:rPr>
      </w:pPr>
      <w:bookmarkStart w:id="7" w:name="_Toc206753342"/>
      <w:r w:rsidRPr="002055CD">
        <w:rPr>
          <w:lang w:val="es-CL"/>
        </w:rPr>
        <w:t>Referencias</w:t>
      </w:r>
      <w:bookmarkEnd w:id="7"/>
    </w:p>
    <w:p w14:paraId="44328ADA" w14:textId="77777777" w:rsidR="00CC357C" w:rsidRPr="002055CD" w:rsidRDefault="00CC357C" w:rsidP="006223A4">
      <w:pPr>
        <w:jc w:val="both"/>
        <w:rPr>
          <w:lang w:val="es-CL"/>
        </w:rPr>
      </w:pPr>
    </w:p>
    <w:p w14:paraId="0132740B" w14:textId="77777777" w:rsidR="006223A4" w:rsidRDefault="00000000" w:rsidP="006223A4">
      <w:pPr>
        <w:pStyle w:val="Prrafodelista"/>
        <w:numPr>
          <w:ilvl w:val="0"/>
          <w:numId w:val="23"/>
        </w:numPr>
        <w:rPr>
          <w:rFonts w:asciiTheme="majorHAnsi" w:hAnsiTheme="majorHAnsi" w:cstheme="majorHAnsi"/>
        </w:rPr>
      </w:pPr>
      <w:r w:rsidRPr="006223A4">
        <w:rPr>
          <w:rFonts w:asciiTheme="majorHAnsi" w:hAnsiTheme="majorHAnsi" w:cstheme="majorHAnsi"/>
        </w:rPr>
        <w:t>OECD (2008). Handbook on Constructing Composite Indicators.</w:t>
      </w:r>
    </w:p>
    <w:p w14:paraId="04BAC090" w14:textId="77777777" w:rsidR="006223A4" w:rsidRDefault="00000000" w:rsidP="006223A4">
      <w:pPr>
        <w:pStyle w:val="Prrafodelista"/>
        <w:numPr>
          <w:ilvl w:val="0"/>
          <w:numId w:val="23"/>
        </w:numPr>
        <w:rPr>
          <w:rFonts w:asciiTheme="majorHAnsi" w:hAnsiTheme="majorHAnsi" w:cstheme="majorHAnsi"/>
        </w:rPr>
      </w:pPr>
      <w:r w:rsidRPr="006223A4">
        <w:rPr>
          <w:rFonts w:asciiTheme="majorHAnsi" w:hAnsiTheme="majorHAnsi" w:cstheme="majorHAnsi"/>
        </w:rPr>
        <w:t>Jolliffe, I. T. (2002). Principal Component Analysis. Springer.</w:t>
      </w:r>
    </w:p>
    <w:p w14:paraId="597ADDED" w14:textId="77777777" w:rsidR="006223A4" w:rsidRDefault="00000000" w:rsidP="006223A4">
      <w:pPr>
        <w:pStyle w:val="Prrafodelista"/>
        <w:numPr>
          <w:ilvl w:val="0"/>
          <w:numId w:val="23"/>
        </w:numPr>
        <w:rPr>
          <w:rFonts w:asciiTheme="majorHAnsi" w:hAnsiTheme="majorHAnsi" w:cstheme="majorHAnsi"/>
        </w:rPr>
      </w:pPr>
      <w:r w:rsidRPr="006223A4">
        <w:rPr>
          <w:rFonts w:asciiTheme="majorHAnsi" w:hAnsiTheme="majorHAnsi" w:cstheme="majorHAnsi"/>
        </w:rPr>
        <w:t>Chowdhury, S., &amp; Saha, A. (2013). Productivity and Efficiency Measurement. Routledge.</w:t>
      </w:r>
    </w:p>
    <w:p w14:paraId="1A5ED7AC" w14:textId="63980168" w:rsidR="00542128" w:rsidRDefault="00000000" w:rsidP="006223A4">
      <w:pPr>
        <w:pStyle w:val="Prrafodelista"/>
        <w:numPr>
          <w:ilvl w:val="0"/>
          <w:numId w:val="23"/>
        </w:numPr>
        <w:rPr>
          <w:rFonts w:asciiTheme="majorHAnsi" w:hAnsiTheme="majorHAnsi" w:cstheme="majorHAnsi"/>
        </w:rPr>
      </w:pPr>
      <w:r w:rsidRPr="006223A4">
        <w:rPr>
          <w:rFonts w:asciiTheme="majorHAnsi" w:hAnsiTheme="majorHAnsi" w:cstheme="majorHAnsi"/>
        </w:rPr>
        <w:t>UNIDO (2019). Industrial Development Report.</w:t>
      </w:r>
    </w:p>
    <w:p w14:paraId="465B9960" w14:textId="77777777" w:rsidR="002C3D27" w:rsidRDefault="002C3D27" w:rsidP="002C3D27">
      <w:pPr>
        <w:rPr>
          <w:rFonts w:asciiTheme="majorHAnsi" w:hAnsiTheme="majorHAnsi" w:cstheme="majorHAnsi"/>
        </w:rPr>
      </w:pPr>
    </w:p>
    <w:p w14:paraId="0CB32D8F" w14:textId="5A44ED33" w:rsidR="002C3D27" w:rsidRPr="002C3D27" w:rsidRDefault="002C3D27" w:rsidP="002C3D27">
      <w:pPr>
        <w:pStyle w:val="Ttulo1"/>
      </w:pPr>
      <w:bookmarkStart w:id="8" w:name="_Toc206753343"/>
      <w:r>
        <w:t>Anexos</w:t>
      </w:r>
      <w:bookmarkEnd w:id="8"/>
    </w:p>
    <w:sectPr w:rsidR="002C3D27" w:rsidRPr="002C3D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864250"/>
    <w:multiLevelType w:val="multilevel"/>
    <w:tmpl w:val="96CEC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C2AAA"/>
    <w:multiLevelType w:val="multilevel"/>
    <w:tmpl w:val="0188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83AD3"/>
    <w:multiLevelType w:val="hybridMultilevel"/>
    <w:tmpl w:val="E316530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0EBF674B"/>
    <w:multiLevelType w:val="multilevel"/>
    <w:tmpl w:val="E122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231D8"/>
    <w:multiLevelType w:val="hybridMultilevel"/>
    <w:tmpl w:val="F6D60B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09A59EA"/>
    <w:multiLevelType w:val="multilevel"/>
    <w:tmpl w:val="46E40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F705B"/>
    <w:multiLevelType w:val="multilevel"/>
    <w:tmpl w:val="2CEA5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37B24"/>
    <w:multiLevelType w:val="multilevel"/>
    <w:tmpl w:val="FCDC27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3632FA"/>
    <w:multiLevelType w:val="multilevel"/>
    <w:tmpl w:val="E0104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B740C"/>
    <w:multiLevelType w:val="hybridMultilevel"/>
    <w:tmpl w:val="80F0137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A744EE2"/>
    <w:multiLevelType w:val="multilevel"/>
    <w:tmpl w:val="118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47D6A"/>
    <w:multiLevelType w:val="multilevel"/>
    <w:tmpl w:val="5B62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32BD2"/>
    <w:multiLevelType w:val="multilevel"/>
    <w:tmpl w:val="C77E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25288A"/>
    <w:multiLevelType w:val="hybridMultilevel"/>
    <w:tmpl w:val="BEB0FD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B211EFB"/>
    <w:multiLevelType w:val="multilevel"/>
    <w:tmpl w:val="6D6E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E43A2"/>
    <w:multiLevelType w:val="multilevel"/>
    <w:tmpl w:val="C2D870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D2F3B03"/>
    <w:multiLevelType w:val="multilevel"/>
    <w:tmpl w:val="3710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571171">
    <w:abstractNumId w:val="8"/>
  </w:num>
  <w:num w:numId="2" w16cid:durableId="808672469">
    <w:abstractNumId w:val="6"/>
  </w:num>
  <w:num w:numId="3" w16cid:durableId="1607732275">
    <w:abstractNumId w:val="5"/>
  </w:num>
  <w:num w:numId="4" w16cid:durableId="1972243982">
    <w:abstractNumId w:val="4"/>
  </w:num>
  <w:num w:numId="5" w16cid:durableId="132799218">
    <w:abstractNumId w:val="7"/>
  </w:num>
  <w:num w:numId="6" w16cid:durableId="1010066683">
    <w:abstractNumId w:val="3"/>
  </w:num>
  <w:num w:numId="7" w16cid:durableId="1636645623">
    <w:abstractNumId w:val="2"/>
  </w:num>
  <w:num w:numId="8" w16cid:durableId="153111329">
    <w:abstractNumId w:val="1"/>
  </w:num>
  <w:num w:numId="9" w16cid:durableId="559169962">
    <w:abstractNumId w:val="0"/>
  </w:num>
  <w:num w:numId="10" w16cid:durableId="1151562270">
    <w:abstractNumId w:val="12"/>
  </w:num>
  <w:num w:numId="11" w16cid:durableId="750085408">
    <w:abstractNumId w:val="25"/>
  </w:num>
  <w:num w:numId="12" w16cid:durableId="1117454933">
    <w:abstractNumId w:val="19"/>
  </w:num>
  <w:num w:numId="13" w16cid:durableId="787316030">
    <w:abstractNumId w:val="23"/>
  </w:num>
  <w:num w:numId="14" w16cid:durableId="213809968">
    <w:abstractNumId w:val="10"/>
  </w:num>
  <w:num w:numId="15" w16cid:durableId="338435550">
    <w:abstractNumId w:val="15"/>
  </w:num>
  <w:num w:numId="16" w16cid:durableId="103692534">
    <w:abstractNumId w:val="21"/>
  </w:num>
  <w:num w:numId="17" w16cid:durableId="325476715">
    <w:abstractNumId w:val="13"/>
  </w:num>
  <w:num w:numId="18" w16cid:durableId="84738547">
    <w:abstractNumId w:val="22"/>
  </w:num>
  <w:num w:numId="19" w16cid:durableId="277642009">
    <w:abstractNumId w:val="18"/>
  </w:num>
  <w:num w:numId="20" w16cid:durableId="1653876334">
    <w:abstractNumId w:val="11"/>
  </w:num>
  <w:num w:numId="21" w16cid:durableId="1513763956">
    <w:abstractNumId w:val="16"/>
  </w:num>
  <w:num w:numId="22" w16cid:durableId="2051605622">
    <w:abstractNumId w:val="14"/>
  </w:num>
  <w:num w:numId="23" w16cid:durableId="1160001687">
    <w:abstractNumId w:val="24"/>
  </w:num>
  <w:num w:numId="24" w16cid:durableId="798650738">
    <w:abstractNumId w:val="20"/>
  </w:num>
  <w:num w:numId="25" w16cid:durableId="1784884872">
    <w:abstractNumId w:val="17"/>
  </w:num>
  <w:num w:numId="26" w16cid:durableId="1322274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5CD"/>
    <w:rsid w:val="0029639D"/>
    <w:rsid w:val="002A4F68"/>
    <w:rsid w:val="002C3D27"/>
    <w:rsid w:val="00300E42"/>
    <w:rsid w:val="00326F90"/>
    <w:rsid w:val="003E1A05"/>
    <w:rsid w:val="003F2872"/>
    <w:rsid w:val="00423F53"/>
    <w:rsid w:val="004F0E24"/>
    <w:rsid w:val="00542128"/>
    <w:rsid w:val="005460F5"/>
    <w:rsid w:val="00583866"/>
    <w:rsid w:val="006223A4"/>
    <w:rsid w:val="006E2C3C"/>
    <w:rsid w:val="009629DA"/>
    <w:rsid w:val="0099703D"/>
    <w:rsid w:val="009975E0"/>
    <w:rsid w:val="00A431E5"/>
    <w:rsid w:val="00A70DF6"/>
    <w:rsid w:val="00A85F38"/>
    <w:rsid w:val="00AA1D8D"/>
    <w:rsid w:val="00B01732"/>
    <w:rsid w:val="00B47730"/>
    <w:rsid w:val="00BA7A13"/>
    <w:rsid w:val="00BB3108"/>
    <w:rsid w:val="00C62CF6"/>
    <w:rsid w:val="00CB0664"/>
    <w:rsid w:val="00CC357C"/>
    <w:rsid w:val="00E95E60"/>
    <w:rsid w:val="00F85883"/>
    <w:rsid w:val="00FC693F"/>
    <w:rsid w:val="00FF06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234CC"/>
  <w14:defaultImageDpi w14:val="300"/>
  <w15:docId w15:val="{66479F81-BE3F-4638-8E5A-3644A4D93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A7A13"/>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customStyle="1" w:styleId="relative">
    <w:name w:val="relative"/>
    <w:basedOn w:val="Fuentedeprrafopredeter"/>
    <w:rsid w:val="00BA7A13"/>
  </w:style>
  <w:style w:type="character" w:customStyle="1" w:styleId="ms-1">
    <w:name w:val="ms-1"/>
    <w:basedOn w:val="Fuentedeprrafopredeter"/>
    <w:rsid w:val="00BA7A13"/>
  </w:style>
  <w:style w:type="character" w:customStyle="1" w:styleId="max-w-full">
    <w:name w:val="max-w-full"/>
    <w:basedOn w:val="Fuentedeprrafopredeter"/>
    <w:rsid w:val="00BA7A13"/>
  </w:style>
  <w:style w:type="character" w:customStyle="1" w:styleId="-me-1">
    <w:name w:val="-me-1"/>
    <w:basedOn w:val="Fuentedeprrafopredeter"/>
    <w:rsid w:val="00BA7A13"/>
  </w:style>
  <w:style w:type="character" w:customStyle="1" w:styleId="katex">
    <w:name w:val="katex"/>
    <w:basedOn w:val="Fuentedeprrafopredeter"/>
    <w:rsid w:val="00A431E5"/>
  </w:style>
  <w:style w:type="character" w:styleId="Textodelmarcadordeposicin">
    <w:name w:val="Placeholder Text"/>
    <w:basedOn w:val="Fuentedeprrafopredeter"/>
    <w:uiPriority w:val="99"/>
    <w:semiHidden/>
    <w:rsid w:val="0099703D"/>
    <w:rPr>
      <w:color w:val="808080"/>
    </w:rPr>
  </w:style>
  <w:style w:type="paragraph" w:styleId="TDC1">
    <w:name w:val="toc 1"/>
    <w:basedOn w:val="Normal"/>
    <w:next w:val="Normal"/>
    <w:autoRedefine/>
    <w:uiPriority w:val="39"/>
    <w:unhideWhenUsed/>
    <w:rsid w:val="006223A4"/>
    <w:pPr>
      <w:spacing w:after="100"/>
    </w:pPr>
  </w:style>
  <w:style w:type="paragraph" w:styleId="TDC3">
    <w:name w:val="toc 3"/>
    <w:basedOn w:val="Normal"/>
    <w:next w:val="Normal"/>
    <w:autoRedefine/>
    <w:uiPriority w:val="39"/>
    <w:unhideWhenUsed/>
    <w:rsid w:val="006223A4"/>
    <w:pPr>
      <w:spacing w:after="100"/>
      <w:ind w:left="440"/>
    </w:pPr>
  </w:style>
  <w:style w:type="character" w:styleId="Hipervnculo">
    <w:name w:val="Hyperlink"/>
    <w:basedOn w:val="Fuentedeprrafopredeter"/>
    <w:uiPriority w:val="99"/>
    <w:unhideWhenUsed/>
    <w:rsid w:val="006223A4"/>
    <w:rPr>
      <w:color w:val="0000FF" w:themeColor="hyperlink"/>
      <w:u w:val="single"/>
    </w:rPr>
  </w:style>
  <w:style w:type="paragraph" w:styleId="TDC2">
    <w:name w:val="toc 2"/>
    <w:basedOn w:val="Normal"/>
    <w:next w:val="Normal"/>
    <w:autoRedefine/>
    <w:uiPriority w:val="39"/>
    <w:unhideWhenUsed/>
    <w:rsid w:val="003F287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683585">
      <w:bodyDiv w:val="1"/>
      <w:marLeft w:val="0"/>
      <w:marRight w:val="0"/>
      <w:marTop w:val="0"/>
      <w:marBottom w:val="0"/>
      <w:divBdr>
        <w:top w:val="none" w:sz="0" w:space="0" w:color="auto"/>
        <w:left w:val="none" w:sz="0" w:space="0" w:color="auto"/>
        <w:bottom w:val="none" w:sz="0" w:space="0" w:color="auto"/>
        <w:right w:val="none" w:sz="0" w:space="0" w:color="auto"/>
      </w:divBdr>
    </w:div>
    <w:div w:id="420486565">
      <w:bodyDiv w:val="1"/>
      <w:marLeft w:val="0"/>
      <w:marRight w:val="0"/>
      <w:marTop w:val="0"/>
      <w:marBottom w:val="0"/>
      <w:divBdr>
        <w:top w:val="none" w:sz="0" w:space="0" w:color="auto"/>
        <w:left w:val="none" w:sz="0" w:space="0" w:color="auto"/>
        <w:bottom w:val="none" w:sz="0" w:space="0" w:color="auto"/>
        <w:right w:val="none" w:sz="0" w:space="0" w:color="auto"/>
      </w:divBdr>
    </w:div>
    <w:div w:id="15492239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vlpubs.nist.gov/nistpubs/ams/NIST.AMS.600-16.pdf?utm_source=chatgpt.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1959</Words>
  <Characters>11679</Characters>
  <Application>Microsoft Office Word</Application>
  <DocSecurity>0</DocSecurity>
  <Lines>307</Lines>
  <Paragraphs>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Daymler Del Jesus O´Farrill Rolando</cp:lastModifiedBy>
  <cp:revision>18</cp:revision>
  <dcterms:created xsi:type="dcterms:W3CDTF">2025-08-22T14:38:00Z</dcterms:created>
  <dcterms:modified xsi:type="dcterms:W3CDTF">2025-09-02T15:17:00Z</dcterms:modified>
  <cp:category/>
</cp:coreProperties>
</file>