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Requirements</w:t>
      </w:r>
    </w:p>
    <w:p>
      <w:pPr>
        <w:pStyle w:val="Heading1"/>
      </w:pPr>
      <w:r>
        <w:t>Scope</w:t>
      </w:r>
    </w:p>
    <w:p>
      <w:r>
        <w:t>This document outlines accessibility requirements for all product surfaces, aligned with WCAG 2.1 AA standards.</w:t>
      </w:r>
    </w:p>
    <w:p>
      <w:pPr>
        <w:pStyle w:val="Heading1"/>
      </w:pPr>
      <w:r>
        <w:t>Requirements</w:t>
      </w:r>
    </w:p>
    <w:p>
      <w:r>
        <w:t>• All interactive elements must have accessible labels</w:t>
        <w:br/>
        <w:t>• Color contrast ratio minimum 4.5:1 for normal text</w:t>
        <w:br/>
        <w:t>• Keyboard navigation must be fully supported</w:t>
        <w:br/>
        <w:t>• Screen reader compatibility required for all core flows</w:t>
      </w:r>
    </w:p>
    <w:p>
      <w:pPr>
        <w:pStyle w:val="Heading1"/>
      </w:pPr>
      <w:r>
        <w:t>Testing</w:t>
      </w:r>
    </w:p>
    <w:p>
      <w:r>
        <w:t>Accessibility audit scheduled for Q2. External auditor: Deque Systems. Internal champion: Sophie Laurent.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