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Competitor Landscape Refresh — March 2026</w:t>
      </w:r>
    </w:p>
    <w:p>
      <w:pPr>
        <w:pStyle w:val="Heading1"/>
      </w:pPr>
      <w:r>
        <w:t>Status</w:t>
      </w:r>
    </w:p>
    <w:p>
      <w:r>
        <w:t>Awaiting feedback from Avery Fuller before finalizing. Draft sent March 13 — no response yet.</w:t>
      </w:r>
    </w:p>
    <w:p>
      <w:pPr>
        <w:pStyle w:val="Heading1"/>
      </w:pPr>
      <w:r>
        <w:t>Draft Summary</w:t>
      </w:r>
    </w:p>
    <w:p>
      <w:r>
        <w:t>Analyzed 6 key competitors across product capability, pricing, and market positioning. Three have launched AI-native features in the last 90 days.</w:t>
      </w:r>
    </w:p>
    <w:p>
      <w:pPr>
        <w:pStyle w:val="Heading1"/>
      </w:pPr>
      <w:r>
        <w:t>Pending Items</w:t>
      </w:r>
    </w:p>
    <w:p>
      <w:r>
        <w:t>• Avery to confirm which competitor pricing data to include (public vs. estimated)</w:t>
        <w:br/>
        <w:t>• James to provide infrastructure benchmark data for section 4</w:t>
        <w:br/>
        <w:t>• Decision needed: include startup landscape or focus on enterprise only?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