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Q1 Executive Brief</w:t>
      </w:r>
    </w:p>
    <w:p>
      <w:pPr>
        <w:pStyle w:val="Heading1"/>
      </w:pPr>
      <w:r>
        <w:t>Overview</w:t>
      </w:r>
    </w:p>
    <w:p>
      <w:r>
        <w:t>Total Q1 spend came in at $3.84M against a budget of $3.71M, a variance of +3.5%. Revenue targets were met across all three business units.</w:t>
      </w:r>
    </w:p>
    <w:p>
      <w:pPr>
        <w:pStyle w:val="Heading1"/>
      </w:pPr>
      <w:r>
        <w:t>Key Highlights</w:t>
      </w:r>
    </w:p>
    <w:p>
      <w:r>
        <w:t>• Marketing exceeded budget by $42K due to expanded campaign activity</w:t>
        <w:br/>
        <w:t>• Engineering came in $18K under budget following scope reduction</w:t>
        <w:br/>
        <w:t>• Sales hit 103% of revenue target for the quarter</w:t>
      </w:r>
    </w:p>
    <w:p>
      <w:pPr>
        <w:pStyle w:val="Heading1"/>
      </w:pPr>
      <w:r>
        <w:t>Risks &amp; Recommendations</w:t>
      </w:r>
    </w:p>
    <w:p>
      <w:r>
        <w:t>Two items flagged for Q2 attention: headcount budget pressure in Product (+$65K projected) and infrastructure renewal costs accelerating into Q2. Recommend a mid-quarter review in April.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